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center"/>
        <w:rPr>
          <w:rFonts w:ascii="Times New Roman" w:eastAsia="Times New Roman" w:hAnsi="Times New Roman" w:cs="Times New Roman"/>
          <w:b/>
          <w:bCs/>
          <w:sz w:val="24"/>
          <w:szCs w:val="24"/>
        </w:rPr>
      </w:pPr>
    </w:p>
    <w:p w:rsidR="0007237D" w:rsidRPr="0007237D" w:rsidRDefault="0007237D" w:rsidP="0007237D">
      <w:pPr>
        <w:spacing w:after="0"/>
        <w:jc w:val="center"/>
        <w:rPr>
          <w:rFonts w:ascii="Times New Roman" w:eastAsia="Times New Roman" w:hAnsi="Times New Roman" w:cs="Times New Roman"/>
          <w:b/>
          <w:bCs/>
          <w:sz w:val="24"/>
          <w:szCs w:val="24"/>
        </w:rPr>
      </w:pPr>
      <w:r w:rsidRPr="0007237D">
        <w:rPr>
          <w:rFonts w:ascii="Times New Roman" w:eastAsia="Times New Roman" w:hAnsi="Times New Roman" w:cs="Times New Roman"/>
          <w:b/>
          <w:bCs/>
          <w:sz w:val="24"/>
          <w:szCs w:val="24"/>
        </w:rPr>
        <w:t>WHY ARE THERE SO MANY CHECK CASHING IN MINORITY COMMUNITY IN USA</w:t>
      </w:r>
    </w:p>
    <w:p w:rsidR="0007237D" w:rsidRPr="0007237D" w:rsidRDefault="0007237D" w:rsidP="0007237D">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Cs/>
          <w:sz w:val="24"/>
          <w:szCs w:val="24"/>
        </w:rPr>
        <w:t>Name:</w:t>
      </w:r>
    </w:p>
    <w:p w:rsidR="0007237D" w:rsidRPr="0007237D" w:rsidRDefault="0007237D" w:rsidP="0007237D">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Cs/>
          <w:sz w:val="24"/>
          <w:szCs w:val="24"/>
        </w:rPr>
        <w:t>Tutor:</w:t>
      </w:r>
    </w:p>
    <w:p w:rsidR="0007237D" w:rsidRPr="0007237D" w:rsidRDefault="0007237D" w:rsidP="0007237D">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Cs/>
          <w:sz w:val="24"/>
          <w:szCs w:val="24"/>
        </w:rPr>
        <w:t>Institution:</w:t>
      </w: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Abstract</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majorities of minority communities are unbanked and hence interact largely with check cashing industry to perform their financial transactions. These communities are less privileged in the asymmetry of information and are also largely disadvantaged by their geographical location. The large number </w:t>
      </w:r>
      <w:r w:rsidR="00DE1B1D" w:rsidRPr="0007237D">
        <w:rPr>
          <w:rFonts w:ascii="Times New Roman" w:eastAsia="Times New Roman" w:hAnsi="Times New Roman" w:cs="Times New Roman"/>
          <w:sz w:val="24"/>
          <w:szCs w:val="24"/>
        </w:rPr>
        <w:t xml:space="preserve">capacity of the minority community </w:t>
      </w:r>
      <w:r w:rsidR="00DE1B1D">
        <w:rPr>
          <w:rFonts w:ascii="Times New Roman" w:eastAsia="Times New Roman" w:hAnsi="Times New Roman" w:cs="Times New Roman"/>
          <w:sz w:val="24"/>
          <w:szCs w:val="24"/>
        </w:rPr>
        <w:t>includes the</w:t>
      </w:r>
      <w:r w:rsidRPr="0007237D">
        <w:rPr>
          <w:rFonts w:ascii="Times New Roman" w:eastAsia="Times New Roman" w:hAnsi="Times New Roman" w:cs="Times New Roman"/>
          <w:sz w:val="24"/>
          <w:szCs w:val="24"/>
        </w:rPr>
        <w:t xml:space="preserve"> low </w:t>
      </w:r>
      <w:r w:rsidR="00DE1B1D">
        <w:rPr>
          <w:rFonts w:ascii="Times New Roman" w:eastAsia="Times New Roman" w:hAnsi="Times New Roman" w:cs="Times New Roman"/>
          <w:sz w:val="24"/>
          <w:szCs w:val="24"/>
        </w:rPr>
        <w:t>income earners and the</w:t>
      </w:r>
      <w:r w:rsidRPr="0007237D">
        <w:rPr>
          <w:rFonts w:ascii="Times New Roman" w:eastAsia="Times New Roman" w:hAnsi="Times New Roman" w:cs="Times New Roman"/>
          <w:sz w:val="24"/>
          <w:szCs w:val="24"/>
        </w:rPr>
        <w:t xml:space="preserve"> moderate income earners. The study identifies the financial behaviors of the minority communities and their perceptions of financial markets.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decision of participating in the check cashing industry has been seen to be jointly related to the decision of remaining unbanked. As a result, there is an increase in check-cashing business </w:t>
      </w:r>
      <w:r w:rsidR="00DE1B1D">
        <w:rPr>
          <w:rFonts w:ascii="Times New Roman" w:eastAsia="Times New Roman" w:hAnsi="Times New Roman" w:cs="Times New Roman"/>
          <w:sz w:val="24"/>
          <w:szCs w:val="24"/>
        </w:rPr>
        <w:t>especially since the demand is high created by the unbanked citizens.</w:t>
      </w:r>
      <w:r w:rsidRPr="0007237D">
        <w:rPr>
          <w:rFonts w:ascii="Times New Roman" w:eastAsia="Times New Roman" w:hAnsi="Times New Roman" w:cs="Times New Roman"/>
          <w:sz w:val="24"/>
          <w:szCs w:val="24"/>
        </w:rPr>
        <w:t xml:space="preserve"> Mostly, it has largely been a result of low income, the proximity of banks </w:t>
      </w:r>
      <w:r w:rsidR="00DE1B1D">
        <w:rPr>
          <w:rFonts w:ascii="Times New Roman" w:eastAsia="Times New Roman" w:hAnsi="Times New Roman" w:cs="Times New Roman"/>
          <w:sz w:val="24"/>
          <w:szCs w:val="24"/>
        </w:rPr>
        <w:t>being</w:t>
      </w:r>
      <w:r w:rsidRPr="0007237D">
        <w:rPr>
          <w:rFonts w:ascii="Times New Roman" w:eastAsia="Times New Roman" w:hAnsi="Times New Roman" w:cs="Times New Roman"/>
          <w:sz w:val="24"/>
          <w:szCs w:val="24"/>
        </w:rPr>
        <w:t xml:space="preserve"> unfavorable, unsuitable working hours, increase legal requirements in opening a bank account, and most especially, increased convenience of check cashing process being fast.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study has two rep</w:t>
      </w:r>
      <w:r w:rsidR="00DE1B1D">
        <w:rPr>
          <w:rFonts w:ascii="Times New Roman" w:eastAsia="Times New Roman" w:hAnsi="Times New Roman" w:cs="Times New Roman"/>
          <w:sz w:val="24"/>
          <w:szCs w:val="24"/>
        </w:rPr>
        <w:t>orts from Pew Heath Group 2010</w:t>
      </w:r>
      <w:r w:rsidRPr="0007237D">
        <w:rPr>
          <w:rFonts w:ascii="Times New Roman" w:eastAsia="Times New Roman" w:hAnsi="Times New Roman" w:cs="Times New Roman"/>
          <w:sz w:val="24"/>
          <w:szCs w:val="24"/>
        </w:rPr>
        <w:t xml:space="preserve"> and Federal Deposit Insurance Corporation (FDIC) 2011. The conclusion of the study recommended the need to spread financial knowledge to everyone and especially to those living in remote areas.</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Introduction</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In the U.S, there are roughly 24% of minorit</w:t>
      </w:r>
      <w:r w:rsidR="00DE1B1D">
        <w:rPr>
          <w:rFonts w:ascii="Times New Roman" w:eastAsia="Times New Roman" w:hAnsi="Times New Roman" w:cs="Times New Roman"/>
          <w:sz w:val="24"/>
          <w:szCs w:val="24"/>
        </w:rPr>
        <w:t>y</w:t>
      </w:r>
      <w:r w:rsidRPr="0007237D">
        <w:rPr>
          <w:rFonts w:ascii="Times New Roman" w:eastAsia="Times New Roman" w:hAnsi="Times New Roman" w:cs="Times New Roman"/>
          <w:sz w:val="24"/>
          <w:szCs w:val="24"/>
        </w:rPr>
        <w:t xml:space="preserve"> families hold no transaction accounts in banks. Most of these minority families comprise; lowly income earners, less educated persons </w:t>
      </w:r>
      <w:r w:rsidR="00DE1B1D">
        <w:rPr>
          <w:rFonts w:ascii="Times New Roman" w:eastAsia="Times New Roman" w:hAnsi="Times New Roman" w:cs="Times New Roman"/>
          <w:sz w:val="24"/>
          <w:szCs w:val="24"/>
        </w:rPr>
        <w:t>where</w:t>
      </w:r>
      <w:r w:rsidRPr="0007237D">
        <w:rPr>
          <w:rFonts w:ascii="Times New Roman" w:eastAsia="Times New Roman" w:hAnsi="Times New Roman" w:cs="Times New Roman"/>
          <w:sz w:val="24"/>
          <w:szCs w:val="24"/>
        </w:rPr>
        <w:t xml:space="preserve"> most of them are young and unemployed</w:t>
      </w:r>
      <w:r w:rsidRPr="0007237D">
        <w:rPr>
          <w:rFonts w:ascii="Times New Roman" w:hAnsi="Times New Roman" w:cs="Times New Roman"/>
          <w:sz w:val="24"/>
          <w:szCs w:val="24"/>
          <w:lang w:val="en"/>
        </w:rPr>
        <w:t xml:space="preserve"> </w:t>
      </w:r>
      <w:r w:rsidR="00DE1B1D">
        <w:rPr>
          <w:rFonts w:ascii="Times New Roman" w:hAnsi="Times New Roman" w:cs="Times New Roman"/>
          <w:sz w:val="24"/>
          <w:szCs w:val="24"/>
          <w:lang w:val="en"/>
        </w:rPr>
        <w:t xml:space="preserve">and only comprise of </w:t>
      </w:r>
      <w:r w:rsidR="00DE1B1D" w:rsidRPr="0007237D">
        <w:rPr>
          <w:rFonts w:ascii="Times New Roman" w:eastAsia="Times New Roman" w:hAnsi="Times New Roman" w:cs="Times New Roman"/>
          <w:sz w:val="24"/>
          <w:szCs w:val="24"/>
        </w:rPr>
        <w:t>less than 5% of the</w:t>
      </w:r>
      <w:r w:rsidR="00DE1B1D">
        <w:rPr>
          <w:rFonts w:ascii="Times New Roman" w:eastAsia="Times New Roman" w:hAnsi="Times New Roman" w:cs="Times New Roman"/>
          <w:sz w:val="24"/>
          <w:szCs w:val="24"/>
        </w:rPr>
        <w:t>m</w:t>
      </w:r>
      <w:r w:rsidR="00DE1B1D" w:rsidRPr="0007237D">
        <w:rPr>
          <w:rFonts w:ascii="Times New Roman" w:eastAsia="Times New Roman" w:hAnsi="Times New Roman" w:cs="Times New Roman"/>
          <w:sz w:val="24"/>
          <w:szCs w:val="24"/>
        </w:rPr>
        <w:t xml:space="preserve"> </w:t>
      </w:r>
      <w:r w:rsidR="00DE1B1D">
        <w:rPr>
          <w:rFonts w:ascii="Times New Roman" w:eastAsia="Times New Roman" w:hAnsi="Times New Roman" w:cs="Times New Roman"/>
          <w:sz w:val="24"/>
          <w:szCs w:val="24"/>
        </w:rPr>
        <w:t>being</w:t>
      </w:r>
      <w:r w:rsidR="00DE1B1D" w:rsidRPr="0007237D">
        <w:rPr>
          <w:rFonts w:ascii="Times New Roman" w:eastAsia="Times New Roman" w:hAnsi="Times New Roman" w:cs="Times New Roman"/>
          <w:sz w:val="24"/>
          <w:szCs w:val="24"/>
        </w:rPr>
        <w:t xml:space="preserve"> whites</w:t>
      </w:r>
      <w:r w:rsidR="00DE1B1D">
        <w:rPr>
          <w:rFonts w:ascii="Times New Roman" w:hAnsi="Times New Roman" w:cs="Times New Roman"/>
          <w:sz w:val="24"/>
          <w:szCs w:val="24"/>
          <w:lang w:val="en"/>
        </w:rPr>
        <w:t xml:space="preserve"> </w:t>
      </w:r>
      <w:r>
        <w:rPr>
          <w:rFonts w:ascii="Times New Roman" w:hAnsi="Times New Roman" w:cs="Times New Roman"/>
          <w:sz w:val="24"/>
          <w:szCs w:val="24"/>
          <w:lang w:val="en"/>
        </w:rPr>
        <w:t>(Shackman &amp; Tenney, 2006)</w:t>
      </w:r>
      <w:r w:rsidRPr="0007237D">
        <w:rPr>
          <w:rFonts w:ascii="Times New Roman" w:eastAsia="Times New Roman" w:hAnsi="Times New Roman" w:cs="Times New Roman"/>
          <w:sz w:val="24"/>
          <w:szCs w:val="24"/>
        </w:rPr>
        <w:t xml:space="preserve">. The unbanked </w:t>
      </w:r>
      <w:r w:rsidR="00DE1B1D">
        <w:rPr>
          <w:rFonts w:ascii="Times New Roman" w:eastAsia="Times New Roman" w:hAnsi="Times New Roman" w:cs="Times New Roman"/>
          <w:sz w:val="24"/>
          <w:szCs w:val="24"/>
        </w:rPr>
        <w:t xml:space="preserve">groups </w:t>
      </w:r>
      <w:r w:rsidRPr="0007237D">
        <w:rPr>
          <w:rFonts w:ascii="Times New Roman" w:eastAsia="Times New Roman" w:hAnsi="Times New Roman" w:cs="Times New Roman"/>
          <w:sz w:val="24"/>
          <w:szCs w:val="24"/>
        </w:rPr>
        <w:t xml:space="preserve">which </w:t>
      </w:r>
      <w:r w:rsidR="00DE1B1D">
        <w:rPr>
          <w:rFonts w:ascii="Times New Roman" w:eastAsia="Times New Roman" w:hAnsi="Times New Roman" w:cs="Times New Roman"/>
          <w:sz w:val="24"/>
          <w:szCs w:val="24"/>
        </w:rPr>
        <w:t>are</w:t>
      </w:r>
      <w:r w:rsidRPr="0007237D">
        <w:rPr>
          <w:rFonts w:ascii="Times New Roman" w:eastAsia="Times New Roman" w:hAnsi="Times New Roman" w:cs="Times New Roman"/>
          <w:sz w:val="24"/>
          <w:szCs w:val="24"/>
        </w:rPr>
        <w:t xml:space="preserve"> greatly represented by the minorities carry out most of their basic financial transactions includ</w:t>
      </w:r>
      <w:r w:rsidR="00DE1B1D">
        <w:rPr>
          <w:rFonts w:ascii="Times New Roman" w:eastAsia="Times New Roman" w:hAnsi="Times New Roman" w:cs="Times New Roman"/>
          <w:sz w:val="24"/>
          <w:szCs w:val="24"/>
        </w:rPr>
        <w:t>ing</w:t>
      </w:r>
      <w:r w:rsidRPr="0007237D">
        <w:rPr>
          <w:rFonts w:ascii="Times New Roman" w:eastAsia="Times New Roman" w:hAnsi="Times New Roman" w:cs="Times New Roman"/>
          <w:sz w:val="24"/>
          <w:szCs w:val="24"/>
        </w:rPr>
        <w:t xml:space="preserve"> paying bills and cashing payroll checks.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Unbanked communities </w:t>
      </w:r>
      <w:r w:rsidR="00DE1B1D">
        <w:rPr>
          <w:rFonts w:ascii="Times New Roman" w:eastAsia="Times New Roman" w:hAnsi="Times New Roman" w:cs="Times New Roman"/>
          <w:sz w:val="24"/>
          <w:szCs w:val="24"/>
        </w:rPr>
        <w:t>prefer the easiest</w:t>
      </w:r>
      <w:r w:rsidRPr="0007237D">
        <w:rPr>
          <w:rFonts w:ascii="Times New Roman" w:eastAsia="Times New Roman" w:hAnsi="Times New Roman" w:cs="Times New Roman"/>
          <w:sz w:val="24"/>
          <w:szCs w:val="24"/>
        </w:rPr>
        <w:t xml:space="preserve"> and fast</w:t>
      </w:r>
      <w:r w:rsidR="00DE1B1D">
        <w:rPr>
          <w:rFonts w:ascii="Times New Roman" w:eastAsia="Times New Roman" w:hAnsi="Times New Roman" w:cs="Times New Roman"/>
          <w:sz w:val="24"/>
          <w:szCs w:val="24"/>
        </w:rPr>
        <w:t>est</w:t>
      </w:r>
      <w:r w:rsidRPr="0007237D">
        <w:rPr>
          <w:rFonts w:ascii="Times New Roman" w:eastAsia="Times New Roman" w:hAnsi="Times New Roman" w:cs="Times New Roman"/>
          <w:sz w:val="24"/>
          <w:szCs w:val="24"/>
        </w:rPr>
        <w:t xml:space="preserve"> alternatives </w:t>
      </w:r>
      <w:r w:rsidR="00DE1B1D">
        <w:rPr>
          <w:rFonts w:ascii="Times New Roman" w:eastAsia="Times New Roman" w:hAnsi="Times New Roman" w:cs="Times New Roman"/>
          <w:sz w:val="24"/>
          <w:szCs w:val="24"/>
        </w:rPr>
        <w:t>of</w:t>
      </w:r>
      <w:r w:rsidRPr="0007237D">
        <w:rPr>
          <w:rFonts w:ascii="Times New Roman" w:eastAsia="Times New Roman" w:hAnsi="Times New Roman" w:cs="Times New Roman"/>
          <w:sz w:val="24"/>
          <w:szCs w:val="24"/>
        </w:rPr>
        <w:t xml:space="preserve"> making their </w:t>
      </w:r>
      <w:r w:rsidR="00DE1B1D">
        <w:rPr>
          <w:rFonts w:ascii="Times New Roman" w:eastAsia="Times New Roman" w:hAnsi="Times New Roman" w:cs="Times New Roman"/>
          <w:sz w:val="24"/>
          <w:szCs w:val="24"/>
        </w:rPr>
        <w:t xml:space="preserve">basic </w:t>
      </w:r>
      <w:r w:rsidRPr="0007237D">
        <w:rPr>
          <w:rFonts w:ascii="Times New Roman" w:eastAsia="Times New Roman" w:hAnsi="Times New Roman" w:cs="Times New Roman"/>
          <w:sz w:val="24"/>
          <w:szCs w:val="24"/>
        </w:rPr>
        <w:t xml:space="preserve">financial transactions. </w:t>
      </w:r>
      <w:r w:rsidR="00DE1B1D">
        <w:rPr>
          <w:rFonts w:ascii="Times New Roman" w:eastAsia="Times New Roman" w:hAnsi="Times New Roman" w:cs="Times New Roman"/>
          <w:sz w:val="24"/>
          <w:szCs w:val="24"/>
        </w:rPr>
        <w:t>In return, it has</w:t>
      </w:r>
      <w:r w:rsidRPr="0007237D">
        <w:rPr>
          <w:rFonts w:ascii="Times New Roman" w:eastAsia="Times New Roman" w:hAnsi="Times New Roman" w:cs="Times New Roman"/>
          <w:sz w:val="24"/>
          <w:szCs w:val="24"/>
        </w:rPr>
        <w:t xml:space="preserve"> increased the need for a market for the check cashin</w:t>
      </w:r>
      <w:r w:rsidR="00DE1B1D">
        <w:rPr>
          <w:rFonts w:ascii="Times New Roman" w:eastAsia="Times New Roman" w:hAnsi="Times New Roman" w:cs="Times New Roman"/>
          <w:sz w:val="24"/>
          <w:szCs w:val="24"/>
        </w:rPr>
        <w:t>g industry</w:t>
      </w:r>
      <w:r w:rsidRPr="0007237D">
        <w:rPr>
          <w:rFonts w:ascii="Times New Roman" w:eastAsia="Times New Roman" w:hAnsi="Times New Roman" w:cs="Times New Roman"/>
          <w:sz w:val="24"/>
          <w:szCs w:val="24"/>
        </w:rPr>
        <w:t>. Check cashing industry include services such as payment of local utility bills, wiring money transfers, selling money orders, and cashing checks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Most researchers have tried to explain the widespread growth in the check-cashing businesses but the question</w:t>
      </w:r>
      <w:r w:rsidR="00DE1B1D">
        <w:rPr>
          <w:rFonts w:ascii="Times New Roman" w:eastAsia="Times New Roman" w:hAnsi="Times New Roman" w:cs="Times New Roman"/>
          <w:sz w:val="24"/>
          <w:szCs w:val="24"/>
        </w:rPr>
        <w:t xml:space="preserve"> of why there are any check cashing businesses</w:t>
      </w:r>
      <w:r w:rsidRPr="0007237D">
        <w:rPr>
          <w:rFonts w:ascii="Times New Roman" w:eastAsia="Times New Roman" w:hAnsi="Times New Roman" w:cs="Times New Roman"/>
          <w:sz w:val="24"/>
          <w:szCs w:val="24"/>
        </w:rPr>
        <w:t xml:space="preserve"> remains unanswered. Some claim that bank branches </w:t>
      </w:r>
      <w:r w:rsidR="00DE1B1D">
        <w:rPr>
          <w:rFonts w:ascii="Times New Roman" w:eastAsia="Times New Roman" w:hAnsi="Times New Roman" w:cs="Times New Roman"/>
          <w:sz w:val="24"/>
          <w:szCs w:val="24"/>
        </w:rPr>
        <w:t xml:space="preserve">especially in remote locations </w:t>
      </w:r>
      <w:r w:rsidRPr="0007237D">
        <w:rPr>
          <w:rFonts w:ascii="Times New Roman" w:eastAsia="Times New Roman" w:hAnsi="Times New Roman" w:cs="Times New Roman"/>
          <w:sz w:val="24"/>
          <w:szCs w:val="24"/>
        </w:rPr>
        <w:t>have reduced in number as a result of acquisitions and mergers. </w:t>
      </w:r>
    </w:p>
    <w:p w:rsidR="0007237D" w:rsidRPr="0007237D" w:rsidRDefault="00C31BBD" w:rsidP="0007237D">
      <w:pPr>
        <w:spacing w:after="0"/>
        <w:ind w:firstLine="720"/>
        <w:jc w:val="both"/>
        <w:rPr>
          <w:rFonts w:ascii="Times New Roman" w:eastAsia="Times New Roman" w:hAnsi="Times New Roman" w:cs="Times New Roman"/>
          <w:sz w:val="24"/>
          <w:szCs w:val="24"/>
        </w:rPr>
      </w:pP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xml:space="preserve"> </w:t>
      </w:r>
      <w:r w:rsidR="0007237D" w:rsidRPr="0007237D">
        <w:rPr>
          <w:rFonts w:ascii="Times New Roman" w:eastAsia="Times New Roman" w:hAnsi="Times New Roman" w:cs="Times New Roman"/>
          <w:sz w:val="24"/>
          <w:szCs w:val="24"/>
        </w:rPr>
        <w:t>advocated that the geographical areas serve as a factor</w:t>
      </w:r>
      <w:r w:rsidR="00DE1B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Most check cashing businesses</w:t>
      </w:r>
      <w:r w:rsidR="0007237D" w:rsidRPr="0007237D">
        <w:rPr>
          <w:rFonts w:ascii="Times New Roman" w:eastAsia="Times New Roman" w:hAnsi="Times New Roman" w:cs="Times New Roman"/>
          <w:sz w:val="24"/>
          <w:szCs w:val="24"/>
        </w:rPr>
        <w:t xml:space="preserve"> are mostly located in rural areas and less developed locations where competition is manageable in providing financial services to customers. It is also contended that the working hours for most banks are not convenient for </w:t>
      </w:r>
      <w:r>
        <w:rPr>
          <w:rFonts w:ascii="Times New Roman" w:eastAsia="Times New Roman" w:hAnsi="Times New Roman" w:cs="Times New Roman"/>
          <w:sz w:val="24"/>
          <w:szCs w:val="24"/>
        </w:rPr>
        <w:t>most</w:t>
      </w:r>
      <w:r w:rsidR="0007237D" w:rsidRPr="0007237D">
        <w:rPr>
          <w:rFonts w:ascii="Times New Roman" w:eastAsia="Times New Roman" w:hAnsi="Times New Roman" w:cs="Times New Roman"/>
          <w:sz w:val="24"/>
          <w:szCs w:val="24"/>
        </w:rPr>
        <w:t xml:space="preserve"> people</w:t>
      </w:r>
      <w:r>
        <w:rPr>
          <w:rFonts w:ascii="Times New Roman" w:hAnsi="Times New Roman" w:cs="Times New Roman"/>
          <w:sz w:val="24"/>
          <w:szCs w:val="24"/>
          <w:lang w:val="en"/>
        </w:rPr>
        <w:t xml:space="preserve">. </w:t>
      </w:r>
      <w:r w:rsidR="0007237D" w:rsidRPr="0007237D">
        <w:rPr>
          <w:rFonts w:ascii="Times New Roman" w:eastAsia="Times New Roman" w:hAnsi="Times New Roman" w:cs="Times New Roman"/>
          <w:sz w:val="24"/>
          <w:szCs w:val="24"/>
        </w:rPr>
        <w:t xml:space="preserve">Moreover, the combination of services provided in the check cashing industry is a mix of products that tends to be very attractive to customers. However, most customers lack relevant information and knowledge of the advantages of being involved in a formal financial service provider. Opening an account reduces the risk to </w:t>
      </w:r>
      <w:r w:rsidR="0007237D" w:rsidRPr="0007237D">
        <w:rPr>
          <w:rFonts w:ascii="Times New Roman" w:eastAsia="Times New Roman" w:hAnsi="Times New Roman" w:cs="Times New Roman"/>
          <w:sz w:val="24"/>
          <w:szCs w:val="24"/>
        </w:rPr>
        <w:lastRenderedPageBreak/>
        <w:t>the customers of theft and fosters wealth creation and as</w:t>
      </w:r>
      <w:r>
        <w:rPr>
          <w:rFonts w:ascii="Times New Roman" w:eastAsia="Times New Roman" w:hAnsi="Times New Roman" w:cs="Times New Roman"/>
          <w:sz w:val="24"/>
          <w:szCs w:val="24"/>
        </w:rPr>
        <w:t>set building such as mortgages to the members.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w:t>
      </w:r>
      <w:r w:rsidR="00CC11B0" w:rsidRPr="0007237D">
        <w:rPr>
          <w:rFonts w:ascii="Times New Roman" w:eastAsia="Times New Roman" w:hAnsi="Times New Roman" w:cs="Times New Roman"/>
          <w:sz w:val="24"/>
          <w:szCs w:val="24"/>
        </w:rPr>
        <w:t xml:space="preserve">treasury </w:t>
      </w:r>
      <w:r w:rsidR="00CC11B0">
        <w:rPr>
          <w:rFonts w:ascii="Times New Roman" w:eastAsia="Times New Roman" w:hAnsi="Times New Roman" w:cs="Times New Roman"/>
          <w:sz w:val="24"/>
          <w:szCs w:val="24"/>
        </w:rPr>
        <w:t xml:space="preserve">department in </w:t>
      </w:r>
      <w:r w:rsidRPr="0007237D">
        <w:rPr>
          <w:rFonts w:ascii="Times New Roman" w:eastAsia="Times New Roman" w:hAnsi="Times New Roman" w:cs="Times New Roman"/>
          <w:sz w:val="24"/>
          <w:szCs w:val="24"/>
        </w:rPr>
        <w:t xml:space="preserve">US implemented the Debt Collection Improvement Act (DCIA) </w:t>
      </w:r>
      <w:r w:rsidR="00CC11B0">
        <w:rPr>
          <w:rFonts w:ascii="Times New Roman" w:eastAsia="Times New Roman" w:hAnsi="Times New Roman" w:cs="Times New Roman"/>
          <w:sz w:val="24"/>
          <w:szCs w:val="24"/>
        </w:rPr>
        <w:t>of</w:t>
      </w:r>
      <w:r w:rsidRPr="0007237D">
        <w:rPr>
          <w:rFonts w:ascii="Times New Roman" w:eastAsia="Times New Roman" w:hAnsi="Times New Roman" w:cs="Times New Roman"/>
          <w:sz w:val="24"/>
          <w:szCs w:val="24"/>
        </w:rPr>
        <w:t xml:space="preserve"> 1996 </w:t>
      </w:r>
      <w:r w:rsidR="00CC11B0">
        <w:rPr>
          <w:rFonts w:ascii="Times New Roman" w:eastAsia="Times New Roman" w:hAnsi="Times New Roman" w:cs="Times New Roman"/>
          <w:sz w:val="24"/>
          <w:szCs w:val="24"/>
        </w:rPr>
        <w:t xml:space="preserve">policy. According to the policy, </w:t>
      </w:r>
      <w:r w:rsidRPr="0007237D">
        <w:rPr>
          <w:rFonts w:ascii="Times New Roman" w:eastAsia="Times New Roman" w:hAnsi="Times New Roman" w:cs="Times New Roman"/>
          <w:sz w:val="24"/>
          <w:szCs w:val="24"/>
        </w:rPr>
        <w:t>the unbanked could get financial service</w:t>
      </w:r>
      <w:r w:rsidR="00CC11B0">
        <w:rPr>
          <w:rFonts w:ascii="Times New Roman" w:eastAsia="Times New Roman" w:hAnsi="Times New Roman" w:cs="Times New Roman"/>
          <w:sz w:val="24"/>
          <w:szCs w:val="24"/>
        </w:rPr>
        <w:t>s</w:t>
      </w:r>
      <w:r w:rsidRPr="0007237D">
        <w:rPr>
          <w:rFonts w:ascii="Times New Roman" w:eastAsia="Times New Roman" w:hAnsi="Times New Roman" w:cs="Times New Roman"/>
          <w:sz w:val="24"/>
          <w:szCs w:val="24"/>
        </w:rPr>
        <w:t xml:space="preserve"> to support their business. </w:t>
      </w:r>
      <w:r w:rsidR="00CC11B0">
        <w:rPr>
          <w:rFonts w:ascii="Times New Roman" w:eastAsia="Times New Roman" w:hAnsi="Times New Roman" w:cs="Times New Roman"/>
          <w:sz w:val="24"/>
          <w:szCs w:val="24"/>
        </w:rPr>
        <w:t>Later on,</w:t>
      </w:r>
      <w:r w:rsidRPr="0007237D">
        <w:rPr>
          <w:rFonts w:ascii="Times New Roman" w:eastAsia="Times New Roman" w:hAnsi="Times New Roman" w:cs="Times New Roman"/>
          <w:sz w:val="24"/>
          <w:szCs w:val="24"/>
        </w:rPr>
        <w:t xml:space="preserve"> the Electronic Transfer Account</w:t>
      </w:r>
      <w:r w:rsidR="00CC11B0">
        <w:rPr>
          <w:rFonts w:ascii="Times New Roman" w:eastAsia="Times New Roman" w:hAnsi="Times New Roman" w:cs="Times New Roman"/>
          <w:sz w:val="24"/>
          <w:szCs w:val="24"/>
        </w:rPr>
        <w:t>s (ETAs) were created to cater for</w:t>
      </w:r>
      <w:r w:rsidRPr="0007237D">
        <w:rPr>
          <w:rFonts w:ascii="Times New Roman" w:eastAsia="Times New Roman" w:hAnsi="Times New Roman" w:cs="Times New Roman"/>
          <w:sz w:val="24"/>
          <w:szCs w:val="24"/>
        </w:rPr>
        <w:t xml:space="preserve"> the unbanked minority group where there are minimal deposit charges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(Pew Health Group, 2010)</w:t>
      </w:r>
      <w:r w:rsidRPr="0007237D">
        <w:rPr>
          <w:rFonts w:ascii="Times New Roman" w:eastAsia="Times New Roman" w:hAnsi="Times New Roman" w:cs="Times New Roman"/>
          <w:sz w:val="24"/>
          <w:szCs w:val="24"/>
        </w:rPr>
        <w:t xml:space="preserve">. This provision was </w:t>
      </w:r>
      <w:r w:rsidR="00CC11B0">
        <w:rPr>
          <w:rFonts w:ascii="Times New Roman" w:eastAsia="Times New Roman" w:hAnsi="Times New Roman" w:cs="Times New Roman"/>
          <w:sz w:val="24"/>
          <w:szCs w:val="24"/>
        </w:rPr>
        <w:t xml:space="preserve">mostly </w:t>
      </w:r>
      <w:r w:rsidRPr="0007237D">
        <w:rPr>
          <w:rFonts w:ascii="Times New Roman" w:eastAsia="Times New Roman" w:hAnsi="Times New Roman" w:cs="Times New Roman"/>
          <w:sz w:val="24"/>
          <w:szCs w:val="24"/>
        </w:rPr>
        <w:t xml:space="preserve">effective to the unbanked but a study by General Accounting Office (GAO) analyzed the transactions in the various financial institutions involved and concluded that most people didn’t use the electronic system since they were unbanked. GAO, 1999 observed that </w:t>
      </w:r>
      <w:r w:rsidR="00CC11B0">
        <w:rPr>
          <w:rFonts w:ascii="Times New Roman" w:eastAsia="Times New Roman" w:hAnsi="Times New Roman" w:cs="Times New Roman"/>
          <w:sz w:val="24"/>
          <w:szCs w:val="24"/>
        </w:rPr>
        <w:t>averagely</w:t>
      </w:r>
      <w:r w:rsidRPr="0007237D">
        <w:rPr>
          <w:rFonts w:ascii="Times New Roman" w:eastAsia="Times New Roman" w:hAnsi="Times New Roman" w:cs="Times New Roman"/>
          <w:sz w:val="24"/>
          <w:szCs w:val="24"/>
        </w:rPr>
        <w:t xml:space="preserve"> 1% of the unbanked</w:t>
      </w:r>
      <w:r w:rsidR="00CC11B0">
        <w:rPr>
          <w:rFonts w:ascii="Times New Roman" w:eastAsia="Times New Roman" w:hAnsi="Times New Roman" w:cs="Times New Roman"/>
          <w:sz w:val="24"/>
          <w:szCs w:val="24"/>
        </w:rPr>
        <w:t xml:space="preserve"> group had opened the EATs</w:t>
      </w:r>
      <w:r w:rsidRPr="0007237D">
        <w:rPr>
          <w:rFonts w:ascii="Times New Roman" w:eastAsia="Times New Roman" w:hAnsi="Times New Roman" w:cs="Times New Roman"/>
          <w:sz w:val="24"/>
          <w:szCs w:val="24"/>
        </w:rPr>
        <w:t>.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This study analyzes data that helps to explain why check cashing is prioritized in minority communities of the USA</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(Burhouse &amp; Osaki, 2012)</w:t>
      </w:r>
      <w:r w:rsidRPr="0007237D">
        <w:rPr>
          <w:rFonts w:ascii="Times New Roman" w:eastAsia="Times New Roman" w:hAnsi="Times New Roman" w:cs="Times New Roman"/>
          <w:sz w:val="24"/>
          <w:szCs w:val="24"/>
        </w:rPr>
        <w:t xml:space="preserve">. The customer’s choice to get involved in a business that allows </w:t>
      </w:r>
      <w:r w:rsidR="00CC11B0">
        <w:rPr>
          <w:rFonts w:ascii="Times New Roman" w:eastAsia="Times New Roman" w:hAnsi="Times New Roman" w:cs="Times New Roman"/>
          <w:sz w:val="24"/>
          <w:szCs w:val="24"/>
        </w:rPr>
        <w:t>c</w:t>
      </w:r>
      <w:r w:rsidRPr="0007237D">
        <w:rPr>
          <w:rFonts w:ascii="Times New Roman" w:eastAsia="Times New Roman" w:hAnsi="Times New Roman" w:cs="Times New Roman"/>
          <w:sz w:val="24"/>
          <w:szCs w:val="24"/>
        </w:rPr>
        <w:t>ash checking is jointly made with the choice of being unbanked. The reasons to remain unbanked vary depending on the race. Most of the communities leading in such businesses are the Hispanics and the blacks. The findings of the study will touch on why the DCIA of 1996 was unsuccessful in upbringing the unbanked into banking platforms.</w:t>
      </w:r>
    </w:p>
    <w:p w:rsidR="0007237D" w:rsidRPr="0007237D" w:rsidRDefault="0007237D" w:rsidP="0007237D">
      <w:pPr>
        <w:spacing w:after="0"/>
        <w:ind w:firstLine="72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Background of the study</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Check </w:t>
      </w:r>
      <w:r w:rsidR="00CC11B0">
        <w:rPr>
          <w:rFonts w:ascii="Times New Roman" w:eastAsia="Times New Roman" w:hAnsi="Times New Roman" w:cs="Times New Roman"/>
          <w:sz w:val="24"/>
          <w:szCs w:val="24"/>
        </w:rPr>
        <w:t xml:space="preserve">cashing business </w:t>
      </w:r>
      <w:r w:rsidRPr="0007237D">
        <w:rPr>
          <w:rFonts w:ascii="Times New Roman" w:eastAsia="Times New Roman" w:hAnsi="Times New Roman" w:cs="Times New Roman"/>
          <w:sz w:val="24"/>
          <w:szCs w:val="24"/>
        </w:rPr>
        <w:t>has greatly</w:t>
      </w:r>
      <w:r w:rsidR="00CC11B0">
        <w:rPr>
          <w:rFonts w:ascii="Times New Roman" w:eastAsia="Times New Roman" w:hAnsi="Times New Roman" w:cs="Times New Roman"/>
          <w:sz w:val="24"/>
          <w:szCs w:val="24"/>
        </w:rPr>
        <w:t xml:space="preserve"> been</w:t>
      </w:r>
      <w:r w:rsidRPr="0007237D">
        <w:rPr>
          <w:rFonts w:ascii="Times New Roman" w:eastAsia="Times New Roman" w:hAnsi="Times New Roman" w:cs="Times New Roman"/>
          <w:sz w:val="24"/>
          <w:szCs w:val="24"/>
        </w:rPr>
        <w:t xml:space="preserve"> involved with the unbanked group. Those that don’t want to have a bank account have ended up in check cashing activities. Access to banking services from insured financial institutions has provided an opportunity to carry out basic financial transact</w:t>
      </w:r>
      <w:r w:rsidR="00CC11B0">
        <w:rPr>
          <w:rFonts w:ascii="Times New Roman" w:eastAsia="Times New Roman" w:hAnsi="Times New Roman" w:cs="Times New Roman"/>
          <w:sz w:val="24"/>
          <w:szCs w:val="24"/>
        </w:rPr>
        <w:t xml:space="preserve">ions, save money for security, </w:t>
      </w:r>
      <w:r w:rsidRPr="0007237D">
        <w:rPr>
          <w:rFonts w:ascii="Times New Roman" w:eastAsia="Times New Roman" w:hAnsi="Times New Roman" w:cs="Times New Roman"/>
          <w:sz w:val="24"/>
          <w:szCs w:val="24"/>
        </w:rPr>
        <w:t xml:space="preserve">save money for emergency reasons, and access </w:t>
      </w:r>
      <w:r w:rsidRPr="0007237D">
        <w:rPr>
          <w:rFonts w:ascii="Times New Roman" w:eastAsia="Times New Roman" w:hAnsi="Times New Roman" w:cs="Times New Roman"/>
          <w:sz w:val="24"/>
          <w:szCs w:val="24"/>
        </w:rPr>
        <w:lastRenderedPageBreak/>
        <w:t>credit facilities on fair terms</w:t>
      </w:r>
      <w:r w:rsidRPr="0007237D">
        <w:rPr>
          <w:rFonts w:ascii="Times New Roman" w:hAnsi="Times New Roman" w:cs="Times New Roman"/>
          <w:sz w:val="24"/>
          <w:szCs w:val="24"/>
          <w:lang w:val="en"/>
        </w:rPr>
        <w:t xml:space="preserve"> </w:t>
      </w:r>
      <w:r>
        <w:rPr>
          <w:rFonts w:ascii="Times New Roman" w:hAnsi="Times New Roman" w:cs="Times New Roman"/>
          <w:color w:val="222222"/>
          <w:sz w:val="24"/>
          <w:szCs w:val="24"/>
        </w:rPr>
        <w:t xml:space="preserve">(Klawitter &amp; Fletschner, 2006). </w:t>
      </w:r>
      <w:r w:rsidRPr="0007237D">
        <w:rPr>
          <w:rFonts w:ascii="Times New Roman" w:eastAsia="Times New Roman" w:hAnsi="Times New Roman" w:cs="Times New Roman"/>
          <w:sz w:val="24"/>
          <w:szCs w:val="24"/>
        </w:rPr>
        <w:t>In banking, most households are protected from discriminatory lending practices and theft.</w:t>
      </w: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w:t>
      </w:r>
      <w:r w:rsidRPr="0007237D">
        <w:rPr>
          <w:rFonts w:ascii="Times New Roman" w:eastAsia="Times New Roman" w:hAnsi="Times New Roman" w:cs="Times New Roman"/>
          <w:sz w:val="24"/>
          <w:szCs w:val="24"/>
        </w:rPr>
        <w:tab/>
        <w:t>Despite the many benefits, low and moderate-income earners do not access the bank facilities such as cheap loans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Others do have a bank account but only rely on non-banking service providers. As a result, these households end up incurring high transaction costs</w:t>
      </w:r>
      <w:r w:rsidR="00CC11B0">
        <w:rPr>
          <w:rFonts w:ascii="Times New Roman" w:eastAsia="Times New Roman" w:hAnsi="Times New Roman" w:cs="Times New Roman"/>
          <w:sz w:val="24"/>
          <w:szCs w:val="24"/>
        </w:rPr>
        <w:t xml:space="preserve"> from the many times they withdraw including sending charges</w:t>
      </w:r>
      <w:r w:rsidRPr="0007237D">
        <w:rPr>
          <w:rFonts w:ascii="Times New Roman" w:eastAsia="Times New Roman" w:hAnsi="Times New Roman" w:cs="Times New Roman"/>
          <w:sz w:val="24"/>
          <w:szCs w:val="24"/>
        </w:rPr>
        <w:t xml:space="preserve">, </w:t>
      </w:r>
      <w:r w:rsidR="00513DCA">
        <w:rPr>
          <w:rFonts w:ascii="Times New Roman" w:eastAsia="Times New Roman" w:hAnsi="Times New Roman" w:cs="Times New Roman"/>
          <w:sz w:val="24"/>
          <w:szCs w:val="24"/>
        </w:rPr>
        <w:t xml:space="preserve">low </w:t>
      </w:r>
      <w:r w:rsidRPr="0007237D">
        <w:rPr>
          <w:rFonts w:ascii="Times New Roman" w:eastAsia="Times New Roman" w:hAnsi="Times New Roman" w:cs="Times New Roman"/>
          <w:sz w:val="24"/>
          <w:szCs w:val="24"/>
        </w:rPr>
        <w:t>access to credit facilities</w:t>
      </w:r>
      <w:r w:rsidR="00513DCA">
        <w:rPr>
          <w:rFonts w:ascii="Times New Roman" w:eastAsia="Times New Roman" w:hAnsi="Times New Roman" w:cs="Times New Roman"/>
          <w:sz w:val="24"/>
          <w:szCs w:val="24"/>
        </w:rPr>
        <w:t xml:space="preserve">, become more vulnerable to theft hence </w:t>
      </w:r>
      <w:r w:rsidRPr="0007237D">
        <w:rPr>
          <w:rFonts w:ascii="Times New Roman" w:eastAsia="Times New Roman" w:hAnsi="Times New Roman" w:cs="Times New Roman"/>
          <w:sz w:val="24"/>
          <w:szCs w:val="24"/>
        </w:rPr>
        <w:t xml:space="preserve">fail to achieve financial security and </w:t>
      </w:r>
      <w:r w:rsidR="00513DCA">
        <w:rPr>
          <w:rFonts w:ascii="Times New Roman" w:eastAsia="Times New Roman" w:hAnsi="Times New Roman" w:cs="Times New Roman"/>
          <w:sz w:val="24"/>
          <w:szCs w:val="24"/>
        </w:rPr>
        <w:t>experience</w:t>
      </w:r>
      <w:r w:rsidRPr="0007237D">
        <w:rPr>
          <w:rFonts w:ascii="Times New Roman" w:eastAsia="Times New Roman" w:hAnsi="Times New Roman" w:cs="Times New Roman"/>
          <w:sz w:val="24"/>
          <w:szCs w:val="24"/>
        </w:rPr>
        <w:t xml:space="preserve"> a difficult time to build their credit history.</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Objectives of the study</w:t>
      </w:r>
    </w:p>
    <w:p w:rsidR="0007237D" w:rsidRPr="0007237D" w:rsidRDefault="0007237D" w:rsidP="0007237D">
      <w:pPr>
        <w:spacing w:after="0"/>
        <w:ind w:firstLine="36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main objective is to find out why to check cashing </w:t>
      </w:r>
      <w:r w:rsidR="00513DCA">
        <w:rPr>
          <w:rFonts w:ascii="Times New Roman" w:eastAsia="Times New Roman" w:hAnsi="Times New Roman" w:cs="Times New Roman"/>
          <w:sz w:val="24"/>
          <w:szCs w:val="24"/>
        </w:rPr>
        <w:t xml:space="preserve">has increased </w:t>
      </w:r>
      <w:r w:rsidRPr="0007237D">
        <w:rPr>
          <w:rFonts w:ascii="Times New Roman" w:eastAsia="Times New Roman" w:hAnsi="Times New Roman" w:cs="Times New Roman"/>
          <w:sz w:val="24"/>
          <w:szCs w:val="24"/>
        </w:rPr>
        <w:t>in minority communities in the US. Other objectives include;</w:t>
      </w:r>
    </w:p>
    <w:p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identify the financial behaviors of low and moderate-income earners.</w:t>
      </w:r>
    </w:p>
    <w:p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compare the behavior of the banked and unbanked households.</w:t>
      </w:r>
    </w:p>
    <w:p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To provide policies and recommendations to policymakers and </w:t>
      </w:r>
      <w:r w:rsidR="00513DCA">
        <w:rPr>
          <w:rFonts w:ascii="Times New Roman" w:eastAsia="Times New Roman" w:hAnsi="Times New Roman" w:cs="Times New Roman"/>
          <w:sz w:val="24"/>
          <w:szCs w:val="24"/>
        </w:rPr>
        <w:t xml:space="preserve">to </w:t>
      </w:r>
      <w:r w:rsidRPr="0007237D">
        <w:rPr>
          <w:rFonts w:ascii="Times New Roman" w:eastAsia="Times New Roman" w:hAnsi="Times New Roman" w:cs="Times New Roman"/>
          <w:sz w:val="24"/>
          <w:szCs w:val="24"/>
        </w:rPr>
        <w:t>the state at large.</w:t>
      </w:r>
    </w:p>
    <w:p w:rsidR="0007237D" w:rsidRPr="0007237D" w:rsidRDefault="0007237D" w:rsidP="0007237D">
      <w:pPr>
        <w:spacing w:after="0"/>
        <w:ind w:left="72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Check-Cashing</w:t>
      </w:r>
    </w:p>
    <w:p w:rsidR="0007237D" w:rsidRPr="0007237D" w:rsidRDefault="00513DCA"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Check-cashing is an outlet where the exchange of cash checks is done at a fee. Mostly, the check be</w:t>
      </w:r>
      <w:r>
        <w:rPr>
          <w:rFonts w:ascii="Times New Roman" w:eastAsia="Times New Roman" w:hAnsi="Times New Roman" w:cs="Times New Roman"/>
          <w:sz w:val="24"/>
          <w:szCs w:val="24"/>
        </w:rPr>
        <w:t>ing cashed includes the</w:t>
      </w:r>
      <w:r w:rsidRPr="0007237D">
        <w:rPr>
          <w:rFonts w:ascii="Times New Roman" w:eastAsia="Times New Roman" w:hAnsi="Times New Roman" w:cs="Times New Roman"/>
          <w:sz w:val="24"/>
          <w:szCs w:val="24"/>
        </w:rPr>
        <w:t xml:space="preserve"> Government Issue checks or paychecks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w:t>
      </w:r>
      <w:r w:rsidR="0007237D" w:rsidRPr="0007237D">
        <w:rPr>
          <w:rFonts w:ascii="Times New Roman" w:eastAsia="Times New Roman" w:hAnsi="Times New Roman" w:cs="Times New Roman"/>
          <w:sz w:val="24"/>
          <w:szCs w:val="24"/>
        </w:rPr>
        <w:t>The check-cashing outlet was initially founded in New York City and Chicago in the 1930s. The outlets grew and expanded in the early 1970s. It became more popular as it continued to spread more rapidly in the 1980s and 1990s</w:t>
      </w:r>
      <w:r w:rsidR="0007237D">
        <w:rPr>
          <w:rFonts w:ascii="Times New Roman" w:eastAsia="Times New Roman" w:hAnsi="Times New Roman" w:cs="Times New Roman"/>
          <w:sz w:val="24"/>
          <w:szCs w:val="24"/>
        </w:rPr>
        <w:t xml:space="preserve"> </w:t>
      </w:r>
      <w:r w:rsidR="0007237D">
        <w:rPr>
          <w:rFonts w:ascii="Times New Roman" w:hAnsi="Times New Roman" w:cs="Times New Roman"/>
          <w:sz w:val="24"/>
          <w:szCs w:val="24"/>
          <w:lang w:val="en"/>
        </w:rPr>
        <w:t>(Caskey, 1994)</w:t>
      </w:r>
      <w:r w:rsidR="0007237D" w:rsidRPr="0007237D">
        <w:rPr>
          <w:rFonts w:ascii="Times New Roman" w:eastAsia="Times New Roman" w:hAnsi="Times New Roman" w:cs="Times New Roman"/>
          <w:sz w:val="24"/>
          <w:szCs w:val="24"/>
        </w:rPr>
        <w:t xml:space="preserve">. Its popularity reduced in the following years. The slowdown was highly contributed by the reduced demand in check </w:t>
      </w:r>
      <w:r w:rsidR="0007237D" w:rsidRPr="0007237D">
        <w:rPr>
          <w:rFonts w:ascii="Times New Roman" w:eastAsia="Times New Roman" w:hAnsi="Times New Roman" w:cs="Times New Roman"/>
          <w:sz w:val="24"/>
          <w:szCs w:val="24"/>
        </w:rPr>
        <w:lastRenderedPageBreak/>
        <w:t>cashing services. In 2005, the number of check-cashing outlets was about 1300 in the U.S. where most of them were owned by small business people. </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Recent Trends on check cashing</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demand for check Cashing Organizations (CCOs) began to slow down as from the mid-1990s making the ability to offer the services </w:t>
      </w:r>
      <w:r w:rsidR="008A7EB8">
        <w:rPr>
          <w:rFonts w:ascii="Times New Roman" w:eastAsia="Times New Roman" w:hAnsi="Times New Roman" w:cs="Times New Roman"/>
          <w:sz w:val="24"/>
          <w:szCs w:val="24"/>
        </w:rPr>
        <w:t>getting</w:t>
      </w:r>
      <w:r w:rsidRPr="0007237D">
        <w:rPr>
          <w:rFonts w:ascii="Times New Roman" w:eastAsia="Times New Roman" w:hAnsi="Times New Roman" w:cs="Times New Roman"/>
          <w:sz w:val="24"/>
          <w:szCs w:val="24"/>
        </w:rPr>
        <w:t xml:space="preserve"> very critical. In recent years, the electronic banking system was introduced </w:t>
      </w:r>
      <w:r w:rsidR="008A7EB8">
        <w:rPr>
          <w:rFonts w:ascii="Times New Roman" w:eastAsia="Times New Roman" w:hAnsi="Times New Roman" w:cs="Times New Roman"/>
          <w:sz w:val="24"/>
          <w:szCs w:val="24"/>
        </w:rPr>
        <w:t xml:space="preserve">from </w:t>
      </w:r>
      <w:r w:rsidRPr="0007237D">
        <w:rPr>
          <w:rFonts w:ascii="Times New Roman" w:eastAsia="Times New Roman" w:hAnsi="Times New Roman" w:cs="Times New Roman"/>
          <w:sz w:val="24"/>
          <w:szCs w:val="24"/>
        </w:rPr>
        <w:t>where direct deposits were done</w:t>
      </w:r>
      <w:r w:rsidR="008A7EB8">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 xml:space="preserve"> enabling the government agencies and employers to direct their payment into a bank account. There was no charge associated with this type of transfer and since the transfer was immediate, there was no unnecessary hold of funds in between transactions. This system threatened the check-cashing business as the people embraced the electronic banking system</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In the 21st century, check cashing deposits have become popular </w:t>
      </w:r>
      <w:r w:rsidR="008A7EB8">
        <w:rPr>
          <w:rFonts w:ascii="Times New Roman" w:eastAsia="Times New Roman" w:hAnsi="Times New Roman" w:cs="Times New Roman"/>
          <w:sz w:val="24"/>
          <w:szCs w:val="24"/>
        </w:rPr>
        <w:t>in</w:t>
      </w:r>
      <w:r w:rsidRPr="0007237D">
        <w:rPr>
          <w:rFonts w:ascii="Times New Roman" w:eastAsia="Times New Roman" w:hAnsi="Times New Roman" w:cs="Times New Roman"/>
          <w:sz w:val="24"/>
          <w:szCs w:val="24"/>
        </w:rPr>
        <w:t xml:space="preserve"> ethnic </w:t>
      </w:r>
      <w:r w:rsidR="008A7EB8">
        <w:rPr>
          <w:rFonts w:ascii="Times New Roman" w:eastAsia="Times New Roman" w:hAnsi="Times New Roman" w:cs="Times New Roman"/>
          <w:sz w:val="24"/>
          <w:szCs w:val="24"/>
        </w:rPr>
        <w:t xml:space="preserve">and </w:t>
      </w:r>
      <w:r w:rsidRPr="0007237D">
        <w:rPr>
          <w:rFonts w:ascii="Times New Roman" w:eastAsia="Times New Roman" w:hAnsi="Times New Roman" w:cs="Times New Roman"/>
          <w:sz w:val="24"/>
          <w:szCs w:val="24"/>
        </w:rPr>
        <w:t xml:space="preserve">minority communities </w:t>
      </w:r>
      <w:r w:rsidR="008A7EB8">
        <w:rPr>
          <w:rFonts w:ascii="Times New Roman" w:eastAsia="Times New Roman" w:hAnsi="Times New Roman" w:cs="Times New Roman"/>
          <w:sz w:val="24"/>
          <w:szCs w:val="24"/>
        </w:rPr>
        <w:t>including the</w:t>
      </w:r>
      <w:r w:rsidRPr="0007237D">
        <w:rPr>
          <w:rFonts w:ascii="Times New Roman" w:eastAsia="Times New Roman" w:hAnsi="Times New Roman" w:cs="Times New Roman"/>
          <w:sz w:val="24"/>
          <w:szCs w:val="24"/>
        </w:rPr>
        <w:t xml:space="preserve"> immigrants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(Shackman &amp; Tenney, 2006)</w:t>
      </w:r>
      <w:r w:rsidRPr="0007237D">
        <w:rPr>
          <w:rFonts w:ascii="Times New Roman" w:eastAsia="Times New Roman" w:hAnsi="Times New Roman" w:cs="Times New Roman"/>
          <w:sz w:val="24"/>
          <w:szCs w:val="24"/>
        </w:rPr>
        <w:t>. The proximity of financial institutions is not friendly to most of these communities. Therefore, they have limited access to banks or branches and hence remain stuck with the old methods. Most of these communities are out of reach to a financial advisor, they few luck groups get financial information from faith-based organiza</w:t>
      </w:r>
      <w:r w:rsidR="00D264BD">
        <w:rPr>
          <w:rFonts w:ascii="Times New Roman" w:eastAsia="Times New Roman" w:hAnsi="Times New Roman" w:cs="Times New Roman"/>
          <w:sz w:val="24"/>
          <w:szCs w:val="24"/>
        </w:rPr>
        <w:t>tions, local financial seminars</w:t>
      </w:r>
      <w:r w:rsidRPr="0007237D">
        <w:rPr>
          <w:rFonts w:ascii="Times New Roman" w:eastAsia="Times New Roman" w:hAnsi="Times New Roman" w:cs="Times New Roman"/>
          <w:sz w:val="24"/>
          <w:szCs w:val="24"/>
        </w:rPr>
        <w:t xml:space="preserve"> and local credit unions.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Moreover, there have been increased identification issues where most financial institutions have introduced some forms of identification such as Social Security Number and individual taxpayer identification and a U.S. taxpayer identification </w:t>
      </w:r>
      <w:r w:rsidR="00D264BD">
        <w:rPr>
          <w:rFonts w:ascii="Times New Roman" w:eastAsia="Times New Roman" w:hAnsi="Times New Roman" w:cs="Times New Roman"/>
          <w:sz w:val="24"/>
          <w:szCs w:val="24"/>
        </w:rPr>
        <w:t xml:space="preserve">which has been part of requirement to open a bank account </w:t>
      </w:r>
      <w:r w:rsidRPr="0007237D">
        <w:rPr>
          <w:rFonts w:ascii="Times New Roman" w:eastAsia="Times New Roman" w:hAnsi="Times New Roman" w:cs="Times New Roman"/>
          <w:sz w:val="24"/>
          <w:szCs w:val="24"/>
        </w:rPr>
        <w:t>number making most of the minority communities not eligible for the financial services.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Check-cashing is commonly used in minority communities. They do not provide credit facilities but rather collect a base fee on a value of check-in return, provide the remaining amount of cash immediately at the time of transaction</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xml:space="preserve">. This turnaround of the transaction has been appealing especially to low-income earners. Most of them will require money at fast hand to make their most basic and daily transactions. The speed of check-cashing </w:t>
      </w:r>
      <w:r w:rsidR="00D264BD">
        <w:rPr>
          <w:rFonts w:ascii="Times New Roman" w:eastAsia="Times New Roman" w:hAnsi="Times New Roman" w:cs="Times New Roman"/>
          <w:sz w:val="24"/>
          <w:szCs w:val="24"/>
        </w:rPr>
        <w:t xml:space="preserve">process </w:t>
      </w:r>
      <w:r w:rsidRPr="0007237D">
        <w:rPr>
          <w:rFonts w:ascii="Times New Roman" w:eastAsia="Times New Roman" w:hAnsi="Times New Roman" w:cs="Times New Roman"/>
          <w:sz w:val="24"/>
          <w:szCs w:val="24"/>
        </w:rPr>
        <w:t>explains its popularity even to those with a bank account. The fee charged for cashing out these checks is a percentage of approximately 2.52% to 5% of the check’s face value</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(Burkey&amp; Simkins, 2004)</w:t>
      </w:r>
      <w:r w:rsidRPr="0007237D">
        <w:rPr>
          <w:rFonts w:ascii="Times New Roman" w:eastAsia="Times New Roman" w:hAnsi="Times New Roman" w:cs="Times New Roman"/>
          <w:sz w:val="24"/>
          <w:szCs w:val="24"/>
        </w:rPr>
        <w:t>.</w:t>
      </w:r>
    </w:p>
    <w:p w:rsidR="0007237D" w:rsidRPr="0007237D" w:rsidRDefault="0007237D" w:rsidP="0007237D">
      <w:pPr>
        <w:spacing w:after="0"/>
        <w:jc w:val="both"/>
        <w:rPr>
          <w:rFonts w:ascii="Times New Roman" w:eastAsia="Times New Roman" w:hAnsi="Times New Roman" w:cs="Times New Roman"/>
          <w:sz w:val="24"/>
          <w:szCs w:val="24"/>
        </w:rPr>
      </w:pPr>
    </w:p>
    <w:p w:rsidR="0007237D" w:rsidRDefault="0007237D" w:rsidP="0007237D">
      <w:pPr>
        <w:spacing w:after="0"/>
        <w:jc w:val="center"/>
        <w:rPr>
          <w:rFonts w:ascii="Times New Roman" w:eastAsia="Times New Roman" w:hAnsi="Times New Roman" w:cs="Times New Roman"/>
          <w:b/>
          <w:bCs/>
          <w:sz w:val="24"/>
          <w:szCs w:val="24"/>
        </w:rPr>
      </w:pPr>
      <w:r w:rsidRPr="0007237D">
        <w:rPr>
          <w:rFonts w:ascii="Times New Roman" w:eastAsia="Times New Roman" w:hAnsi="Times New Roman" w:cs="Times New Roman"/>
          <w:b/>
          <w:bCs/>
          <w:sz w:val="24"/>
          <w:szCs w:val="24"/>
        </w:rPr>
        <w:t>Literature Review</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iCs/>
          <w:sz w:val="24"/>
          <w:szCs w:val="24"/>
        </w:rPr>
        <w:t>According to</w:t>
      </w:r>
      <w:r w:rsidRPr="0007237D">
        <w:rPr>
          <w:rFonts w:ascii="Times New Roman" w:hAnsi="Times New Roman" w:cs="Times New Roman"/>
          <w:sz w:val="24"/>
          <w:szCs w:val="24"/>
          <w:lang w:val="en"/>
        </w:rPr>
        <w:t xml:space="preserve"> Caskey 1994,</w:t>
      </w:r>
      <w:r w:rsidRPr="0007237D">
        <w:rPr>
          <w:rFonts w:ascii="Times New Roman" w:eastAsia="Times New Roman" w:hAnsi="Times New Roman" w:cs="Times New Roman"/>
          <w:i/>
          <w:iCs/>
          <w:sz w:val="24"/>
          <w:szCs w:val="24"/>
        </w:rPr>
        <w:t> </w:t>
      </w:r>
      <w:r w:rsidRPr="0007237D">
        <w:rPr>
          <w:rFonts w:ascii="Times New Roman" w:eastAsia="Times New Roman" w:hAnsi="Times New Roman" w:cs="Times New Roman"/>
          <w:sz w:val="24"/>
          <w:szCs w:val="24"/>
        </w:rPr>
        <w:t xml:space="preserve">he finds the growth </w:t>
      </w:r>
      <w:r w:rsidR="00D264BD" w:rsidRPr="0007237D">
        <w:rPr>
          <w:rFonts w:ascii="Times New Roman" w:eastAsia="Times New Roman" w:hAnsi="Times New Roman" w:cs="Times New Roman"/>
          <w:sz w:val="24"/>
          <w:szCs w:val="24"/>
        </w:rPr>
        <w:t xml:space="preserve">check-cashing </w:t>
      </w:r>
      <w:r w:rsidRPr="0007237D">
        <w:rPr>
          <w:rFonts w:ascii="Times New Roman" w:eastAsia="Times New Roman" w:hAnsi="Times New Roman" w:cs="Times New Roman"/>
          <w:sz w:val="24"/>
          <w:szCs w:val="24"/>
        </w:rPr>
        <w:t>in the 1980s having a direct</w:t>
      </w:r>
      <w:r w:rsidR="00D264BD">
        <w:rPr>
          <w:rFonts w:ascii="Times New Roman" w:eastAsia="Times New Roman" w:hAnsi="Times New Roman" w:cs="Times New Roman"/>
          <w:sz w:val="24"/>
          <w:szCs w:val="24"/>
        </w:rPr>
        <w:t xml:space="preserve"> a</w:t>
      </w:r>
      <w:r w:rsidRPr="0007237D">
        <w:rPr>
          <w:rFonts w:ascii="Times New Roman" w:eastAsia="Times New Roman" w:hAnsi="Times New Roman" w:cs="Times New Roman"/>
          <w:sz w:val="24"/>
          <w:szCs w:val="24"/>
        </w:rPr>
        <w:t xml:space="preserve"> relationship with the growth of pawnshops. He related with the pawnshops for they shared similar clientele and both acted as traditional saving banks. He argued that their growth was greatly attributed to increas</w:t>
      </w:r>
      <w:r w:rsidR="00D264BD">
        <w:rPr>
          <w:rFonts w:ascii="Times New Roman" w:eastAsia="Times New Roman" w:hAnsi="Times New Roman" w:cs="Times New Roman"/>
          <w:sz w:val="24"/>
          <w:szCs w:val="24"/>
        </w:rPr>
        <w:t>ed</w:t>
      </w:r>
      <w:r w:rsidRPr="0007237D">
        <w:rPr>
          <w:rFonts w:ascii="Times New Roman" w:eastAsia="Times New Roman" w:hAnsi="Times New Roman" w:cs="Times New Roman"/>
          <w:sz w:val="24"/>
          <w:szCs w:val="24"/>
        </w:rPr>
        <w:t xml:space="preserve"> competiti</w:t>
      </w:r>
      <w:r w:rsidR="00D264BD">
        <w:rPr>
          <w:rFonts w:ascii="Times New Roman" w:eastAsia="Times New Roman" w:hAnsi="Times New Roman" w:cs="Times New Roman"/>
          <w:sz w:val="24"/>
          <w:szCs w:val="24"/>
        </w:rPr>
        <w:t>on in banks, increased ban fees</w:t>
      </w:r>
      <w:r w:rsidRPr="0007237D">
        <w:rPr>
          <w:rFonts w:ascii="Times New Roman" w:eastAsia="Times New Roman" w:hAnsi="Times New Roman" w:cs="Times New Roman"/>
          <w:sz w:val="24"/>
          <w:szCs w:val="24"/>
        </w:rPr>
        <w:t xml:space="preserve"> </w:t>
      </w:r>
      <w:r w:rsidR="00D264BD">
        <w:rPr>
          <w:rFonts w:ascii="Times New Roman" w:eastAsia="Times New Roman" w:hAnsi="Times New Roman" w:cs="Times New Roman"/>
          <w:sz w:val="24"/>
          <w:szCs w:val="24"/>
        </w:rPr>
        <w:t xml:space="preserve">hence </w:t>
      </w:r>
      <w:r w:rsidRPr="0007237D">
        <w:rPr>
          <w:rFonts w:ascii="Times New Roman" w:eastAsia="Times New Roman" w:hAnsi="Times New Roman" w:cs="Times New Roman"/>
          <w:sz w:val="24"/>
          <w:szCs w:val="24"/>
        </w:rPr>
        <w:t>made the business even more profitable. </w:t>
      </w:r>
      <w:r w:rsidRPr="0007237D">
        <w:rPr>
          <w:rFonts w:ascii="Times New Roman" w:eastAsia="Times New Roman" w:hAnsi="Times New Roman" w:cs="Times New Roman"/>
          <w:iCs/>
          <w:sz w:val="24"/>
          <w:szCs w:val="24"/>
        </w:rPr>
        <w:t xml:space="preserve">In the research of </w:t>
      </w:r>
      <w:r w:rsidRPr="0007237D">
        <w:rPr>
          <w:rFonts w:ascii="Times New Roman" w:hAnsi="Times New Roman" w:cs="Times New Roman"/>
          <w:sz w:val="24"/>
          <w:szCs w:val="24"/>
          <w:lang w:val="en"/>
        </w:rPr>
        <w:t>Prager 2009,</w:t>
      </w:r>
      <w:r w:rsidRPr="0007237D">
        <w:rPr>
          <w:rFonts w:ascii="Times New Roman" w:eastAsia="Times New Roman" w:hAnsi="Times New Roman" w:cs="Times New Roman"/>
          <w:sz w:val="24"/>
          <w:szCs w:val="24"/>
        </w:rPr>
        <w:t> he recognize</w:t>
      </w:r>
      <w:r w:rsidR="00D264BD">
        <w:rPr>
          <w:rFonts w:ascii="Times New Roman" w:eastAsia="Times New Roman" w:hAnsi="Times New Roman" w:cs="Times New Roman"/>
          <w:sz w:val="24"/>
          <w:szCs w:val="24"/>
        </w:rPr>
        <w:t>d</w:t>
      </w:r>
      <w:r w:rsidRPr="0007237D">
        <w:rPr>
          <w:rFonts w:ascii="Times New Roman" w:eastAsia="Times New Roman" w:hAnsi="Times New Roman" w:cs="Times New Roman"/>
          <w:sz w:val="24"/>
          <w:szCs w:val="24"/>
        </w:rPr>
        <w:t xml:space="preserve"> that most banks closed down their branches in areas where low-income earners were populated. He </w:t>
      </w:r>
      <w:r w:rsidR="00D264BD">
        <w:rPr>
          <w:rFonts w:ascii="Times New Roman" w:eastAsia="Times New Roman" w:hAnsi="Times New Roman" w:cs="Times New Roman"/>
          <w:sz w:val="24"/>
          <w:szCs w:val="24"/>
        </w:rPr>
        <w:t xml:space="preserve">also </w:t>
      </w:r>
      <w:r w:rsidRPr="0007237D">
        <w:rPr>
          <w:rFonts w:ascii="Times New Roman" w:eastAsia="Times New Roman" w:hAnsi="Times New Roman" w:cs="Times New Roman"/>
          <w:sz w:val="24"/>
          <w:szCs w:val="24"/>
        </w:rPr>
        <w:t>argue</w:t>
      </w:r>
      <w:r w:rsidR="00D264BD">
        <w:rPr>
          <w:rFonts w:ascii="Times New Roman" w:eastAsia="Times New Roman" w:hAnsi="Times New Roman" w:cs="Times New Roman"/>
          <w:sz w:val="24"/>
          <w:szCs w:val="24"/>
        </w:rPr>
        <w:t>d</w:t>
      </w:r>
      <w:r w:rsidRPr="0007237D">
        <w:rPr>
          <w:rFonts w:ascii="Times New Roman" w:eastAsia="Times New Roman" w:hAnsi="Times New Roman" w:cs="Times New Roman"/>
          <w:sz w:val="24"/>
          <w:szCs w:val="24"/>
        </w:rPr>
        <w:t xml:space="preserve"> that deregulation led to the increased competition between banks that resulted in some of the branches closing hence opening great opportunities for cash checking outlet and pawnshop growth.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Hispanics as compared to whites are less likely to own ass</w:t>
      </w:r>
      <w:r w:rsidR="00D264BD">
        <w:rPr>
          <w:rFonts w:ascii="Times New Roman" w:eastAsia="Times New Roman" w:hAnsi="Times New Roman" w:cs="Times New Roman"/>
          <w:sz w:val="24"/>
          <w:szCs w:val="24"/>
        </w:rPr>
        <w:t>et</w:t>
      </w:r>
      <w:r w:rsidRPr="0007237D">
        <w:rPr>
          <w:rFonts w:ascii="Times New Roman" w:eastAsia="Times New Roman" w:hAnsi="Times New Roman" w:cs="Times New Roman"/>
          <w:sz w:val="24"/>
          <w:szCs w:val="24"/>
        </w:rPr>
        <w:t>s like checking accounts. According to</w:t>
      </w:r>
      <w:r w:rsidRPr="0007237D">
        <w:rPr>
          <w:rFonts w:ascii="Times New Roman" w:hAnsi="Times New Roman" w:cs="Times New Roman"/>
          <w:sz w:val="24"/>
          <w:szCs w:val="24"/>
          <w:lang w:val="en"/>
        </w:rPr>
        <w:t xml:space="preserve"> Burkey&amp; Simkins 2004, </w:t>
      </w:r>
      <w:r w:rsidRPr="0007237D">
        <w:rPr>
          <w:rFonts w:ascii="Times New Roman" w:eastAsia="Times New Roman" w:hAnsi="Times New Roman" w:cs="Times New Roman"/>
          <w:sz w:val="24"/>
          <w:szCs w:val="24"/>
        </w:rPr>
        <w:t xml:space="preserve">there is about one-third of the Hispanics who are born in the US </w:t>
      </w:r>
      <w:r w:rsidR="00D264BD" w:rsidRPr="0007237D">
        <w:rPr>
          <w:rFonts w:ascii="Times New Roman" w:eastAsia="Times New Roman" w:hAnsi="Times New Roman" w:cs="Times New Roman"/>
          <w:sz w:val="24"/>
          <w:szCs w:val="24"/>
        </w:rPr>
        <w:t>that are unbanked</w:t>
      </w:r>
      <w:r w:rsidR="00D264BD" w:rsidRPr="0007237D">
        <w:rPr>
          <w:rFonts w:ascii="Times New Roman" w:eastAsia="Times New Roman" w:hAnsi="Times New Roman" w:cs="Times New Roman"/>
          <w:sz w:val="24"/>
          <w:szCs w:val="24"/>
        </w:rPr>
        <w:t xml:space="preserve"> </w:t>
      </w:r>
      <w:r w:rsidR="00D264BD">
        <w:rPr>
          <w:rFonts w:ascii="Times New Roman" w:eastAsia="Times New Roman" w:hAnsi="Times New Roman" w:cs="Times New Roman"/>
          <w:sz w:val="24"/>
          <w:szCs w:val="24"/>
        </w:rPr>
        <w:t xml:space="preserve">and </w:t>
      </w:r>
      <w:r w:rsidRPr="0007237D">
        <w:rPr>
          <w:rFonts w:ascii="Times New Roman" w:eastAsia="Times New Roman" w:hAnsi="Times New Roman" w:cs="Times New Roman"/>
          <w:sz w:val="24"/>
          <w:szCs w:val="24"/>
        </w:rPr>
        <w:t xml:space="preserve">half of the Hispanic group comes from foreign countries that are unbanked. Most of the people with low income fail in making </w:t>
      </w:r>
      <w:r w:rsidR="00D264BD">
        <w:rPr>
          <w:rFonts w:ascii="Times New Roman" w:eastAsia="Times New Roman" w:hAnsi="Times New Roman" w:cs="Times New Roman"/>
          <w:sz w:val="24"/>
          <w:szCs w:val="24"/>
        </w:rPr>
        <w:t>economic</w:t>
      </w:r>
      <w:r w:rsidRPr="0007237D">
        <w:rPr>
          <w:rFonts w:ascii="Times New Roman" w:eastAsia="Times New Roman" w:hAnsi="Times New Roman" w:cs="Times New Roman"/>
          <w:sz w:val="24"/>
          <w:szCs w:val="24"/>
        </w:rPr>
        <w:t xml:space="preserve"> decisions in their money </w:t>
      </w:r>
      <w:r w:rsidRPr="0007237D">
        <w:rPr>
          <w:rFonts w:ascii="Times New Roman" w:eastAsia="Times New Roman" w:hAnsi="Times New Roman" w:cs="Times New Roman"/>
          <w:sz w:val="24"/>
          <w:szCs w:val="24"/>
        </w:rPr>
        <w:lastRenderedPageBreak/>
        <w:t xml:space="preserve">spending habits. For instance, low-income families are more likely to prefer other alternative forms of banking such as payday loans and check cashing instead of formal banking practices. These practices are </w:t>
      </w:r>
      <w:r w:rsidR="00D264BD">
        <w:rPr>
          <w:rFonts w:ascii="Times New Roman" w:eastAsia="Times New Roman" w:hAnsi="Times New Roman" w:cs="Times New Roman"/>
          <w:sz w:val="24"/>
          <w:szCs w:val="24"/>
        </w:rPr>
        <w:t>mostly convenient to then but</w:t>
      </w:r>
      <w:r w:rsidRPr="0007237D">
        <w:rPr>
          <w:rFonts w:ascii="Times New Roman" w:eastAsia="Times New Roman" w:hAnsi="Times New Roman" w:cs="Times New Roman"/>
          <w:sz w:val="24"/>
          <w:szCs w:val="24"/>
        </w:rPr>
        <w:t xml:space="preserve"> a disincentive to save (</w:t>
      </w:r>
      <w:r w:rsidRPr="0007237D">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According to</w:t>
      </w:r>
      <w:r w:rsidRPr="0007237D">
        <w:rPr>
          <w:rFonts w:ascii="Times New Roman" w:hAnsi="Times New Roman" w:cs="Times New Roman"/>
          <w:sz w:val="24"/>
          <w:szCs w:val="24"/>
          <w:lang w:val="en"/>
        </w:rPr>
        <w:t xml:space="preserve"> Pew Health Group 2010, the research </w:t>
      </w:r>
      <w:r w:rsidRPr="0007237D">
        <w:rPr>
          <w:rFonts w:ascii="Times New Roman" w:eastAsia="Times New Roman" w:hAnsi="Times New Roman" w:cs="Times New Roman"/>
          <w:sz w:val="24"/>
          <w:szCs w:val="24"/>
        </w:rPr>
        <w:t>explains that households with features such as low age, low education, low income, Spanish-speaking, noncitizens, and other minorities are demographics of the unbanked community.</w:t>
      </w:r>
      <w:r w:rsidRPr="0007237D">
        <w:rPr>
          <w:rFonts w:ascii="Times New Roman" w:hAnsi="Times New Roman" w:cs="Times New Roman"/>
          <w:sz w:val="24"/>
          <w:szCs w:val="24"/>
          <w:lang w:val="en"/>
        </w:rPr>
        <w:t xml:space="preserve"> Caskey 1994 </w:t>
      </w:r>
      <w:r w:rsidRPr="0007237D">
        <w:rPr>
          <w:rFonts w:ascii="Times New Roman" w:eastAsia="Times New Roman" w:hAnsi="Times New Roman" w:cs="Times New Roman"/>
          <w:sz w:val="24"/>
          <w:szCs w:val="24"/>
        </w:rPr>
        <w:t xml:space="preserve">shows that access to banking systems is a step to creating wealth. Financial institutions provide a platform for people to save for emergencies and security. Also, the participants benefit from credit facilities </w:t>
      </w:r>
      <w:r w:rsidR="006B3C55">
        <w:rPr>
          <w:rFonts w:ascii="Times New Roman" w:eastAsia="Times New Roman" w:hAnsi="Times New Roman" w:cs="Times New Roman"/>
          <w:sz w:val="24"/>
          <w:szCs w:val="24"/>
        </w:rPr>
        <w:t>and are offered on friendly and</w:t>
      </w:r>
      <w:r w:rsidRPr="0007237D">
        <w:rPr>
          <w:rFonts w:ascii="Times New Roman" w:eastAsia="Times New Roman" w:hAnsi="Times New Roman" w:cs="Times New Roman"/>
          <w:sz w:val="24"/>
          <w:szCs w:val="24"/>
        </w:rPr>
        <w:t xml:space="preserve"> affordable terms.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unbanked end </w:t>
      </w:r>
      <w:r w:rsidR="006B3C55">
        <w:rPr>
          <w:rFonts w:ascii="Times New Roman" w:eastAsia="Times New Roman" w:hAnsi="Times New Roman" w:cs="Times New Roman"/>
          <w:sz w:val="24"/>
          <w:szCs w:val="24"/>
        </w:rPr>
        <w:t xml:space="preserve">up </w:t>
      </w:r>
      <w:r w:rsidRPr="0007237D">
        <w:rPr>
          <w:rFonts w:ascii="Times New Roman" w:eastAsia="Times New Roman" w:hAnsi="Times New Roman" w:cs="Times New Roman"/>
          <w:sz w:val="24"/>
          <w:szCs w:val="24"/>
        </w:rPr>
        <w:t xml:space="preserve">finding </w:t>
      </w:r>
      <w:r w:rsidR="006B3C55">
        <w:rPr>
          <w:rFonts w:ascii="Times New Roman" w:eastAsia="Times New Roman" w:hAnsi="Times New Roman" w:cs="Times New Roman"/>
          <w:sz w:val="24"/>
          <w:szCs w:val="24"/>
        </w:rPr>
        <w:t xml:space="preserve">alternative </w:t>
      </w:r>
      <w:r w:rsidRPr="0007237D">
        <w:rPr>
          <w:rFonts w:ascii="Times New Roman" w:eastAsia="Times New Roman" w:hAnsi="Times New Roman" w:cs="Times New Roman"/>
          <w:sz w:val="24"/>
          <w:szCs w:val="24"/>
        </w:rPr>
        <w:t xml:space="preserve">ways </w:t>
      </w:r>
      <w:r w:rsidR="004331EE">
        <w:rPr>
          <w:rFonts w:ascii="Times New Roman" w:eastAsia="Times New Roman" w:hAnsi="Times New Roman" w:cs="Times New Roman"/>
          <w:sz w:val="24"/>
          <w:szCs w:val="24"/>
        </w:rPr>
        <w:t>such as</w:t>
      </w:r>
      <w:r w:rsidR="004331EE" w:rsidRPr="0007237D">
        <w:rPr>
          <w:rFonts w:ascii="Times New Roman" w:eastAsia="Times New Roman" w:hAnsi="Times New Roman" w:cs="Times New Roman"/>
          <w:sz w:val="24"/>
          <w:szCs w:val="24"/>
        </w:rPr>
        <w:t xml:space="preserve"> check-</w:t>
      </w:r>
      <w:r w:rsidR="004331EE" w:rsidRPr="0007237D">
        <w:rPr>
          <w:rFonts w:ascii="Times New Roman" w:eastAsia="Times New Roman" w:hAnsi="Times New Roman" w:cs="Times New Roman"/>
          <w:sz w:val="24"/>
          <w:szCs w:val="24"/>
        </w:rPr>
        <w:t xml:space="preserve">cashing </w:t>
      </w:r>
      <w:r w:rsidR="004331EE">
        <w:rPr>
          <w:rFonts w:ascii="Times New Roman" w:eastAsia="Times New Roman" w:hAnsi="Times New Roman" w:cs="Times New Roman"/>
          <w:sz w:val="24"/>
          <w:szCs w:val="24"/>
        </w:rPr>
        <w:t>to</w:t>
      </w:r>
      <w:r w:rsidRPr="0007237D">
        <w:rPr>
          <w:rFonts w:ascii="Times New Roman" w:eastAsia="Times New Roman" w:hAnsi="Times New Roman" w:cs="Times New Roman"/>
          <w:sz w:val="24"/>
          <w:szCs w:val="24"/>
        </w:rPr>
        <w:t xml:space="preserve"> conduct their basic financial transactions </w:t>
      </w:r>
      <w:r w:rsidR="004331EE">
        <w:rPr>
          <w:rFonts w:ascii="Times New Roman" w:eastAsia="Times New Roman" w:hAnsi="Times New Roman" w:cs="Times New Roman"/>
          <w:sz w:val="24"/>
          <w:szCs w:val="24"/>
        </w:rPr>
        <w:t>to meet their financial needs</w:t>
      </w:r>
      <w:r w:rsidR="006B3C55">
        <w:rPr>
          <w:rFonts w:ascii="Times New Roman" w:eastAsia="Times New Roman" w:hAnsi="Times New Roman" w:cs="Times New Roman"/>
          <w:sz w:val="24"/>
          <w:szCs w:val="24"/>
        </w:rPr>
        <w:t xml:space="preserve">. They also </w:t>
      </w:r>
      <w:r w:rsidRPr="0007237D">
        <w:rPr>
          <w:rFonts w:ascii="Times New Roman" w:eastAsia="Times New Roman" w:hAnsi="Times New Roman" w:cs="Times New Roman"/>
          <w:sz w:val="24"/>
          <w:szCs w:val="24"/>
        </w:rPr>
        <w:t>pay the</w:t>
      </w:r>
      <w:r w:rsidR="006B3C55">
        <w:rPr>
          <w:rFonts w:ascii="Times New Roman" w:eastAsia="Times New Roman" w:hAnsi="Times New Roman" w:cs="Times New Roman"/>
          <w:sz w:val="24"/>
          <w:szCs w:val="24"/>
        </w:rPr>
        <w:t>ir</w:t>
      </w:r>
      <w:r w:rsidRPr="0007237D">
        <w:rPr>
          <w:rFonts w:ascii="Times New Roman" w:eastAsia="Times New Roman" w:hAnsi="Times New Roman" w:cs="Times New Roman"/>
          <w:sz w:val="24"/>
          <w:szCs w:val="24"/>
        </w:rPr>
        <w:t xml:space="preserve"> bill in cash</w:t>
      </w:r>
      <w:r w:rsidR="004331EE">
        <w:rPr>
          <w:rFonts w:ascii="Times New Roman" w:eastAsia="Times New Roman" w:hAnsi="Times New Roman" w:cs="Times New Roman"/>
          <w:sz w:val="24"/>
          <w:szCs w:val="24"/>
        </w:rPr>
        <w:t xml:space="preserve"> since cash at hand is more avaiable</w:t>
      </w:r>
      <w:r>
        <w:rPr>
          <w:rFonts w:ascii="Times New Roman" w:eastAsia="Times New Roman" w:hAnsi="Times New Roman" w:cs="Times New Roman"/>
          <w:sz w:val="24"/>
          <w:szCs w:val="24"/>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In their saving habits, they do it the informal way which has got increased risk of appropriation, no inflation protection and gets no return of their savings.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Immigrants who are mostly Latinos are the fastest-growing foreign group and most of them have got low education in comparison to people from Asia and Europe. Additionally, they are mostly amongst the group of undocumented immigrants hence, are less likely to engage in informalities such as banking sectors</w:t>
      </w:r>
      <w:r w:rsidR="004331EE">
        <w:rPr>
          <w:rFonts w:ascii="Times New Roman" w:eastAsia="Times New Roman" w:hAnsi="Times New Roman" w:cs="Times New Roman"/>
          <w:sz w:val="24"/>
          <w:szCs w:val="24"/>
        </w:rPr>
        <w:t xml:space="preserve"> to avoid facing the law</w:t>
      </w:r>
      <w:r w:rsidRPr="0007237D">
        <w:rPr>
          <w:rFonts w:ascii="Times New Roman" w:hAnsi="Times New Roman" w:cs="Times New Roman"/>
          <w:sz w:val="24"/>
          <w:szCs w:val="24"/>
          <w:lang w:val="en"/>
        </w:rPr>
        <w:t xml:space="preserve"> (Shackman &amp; Tenney, 2006)</w:t>
      </w:r>
      <w:r w:rsidRPr="0007237D">
        <w:rPr>
          <w:rFonts w:ascii="Times New Roman" w:eastAsia="Times New Roman" w:hAnsi="Times New Roman" w:cs="Times New Roman"/>
          <w:sz w:val="24"/>
          <w:szCs w:val="24"/>
        </w:rPr>
        <w:t>. </w:t>
      </w:r>
    </w:p>
    <w:p w:rsidR="0007237D" w:rsidRPr="0007237D" w:rsidRDefault="00DF4C29" w:rsidP="0007237D">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w:t>
      </w:r>
      <w:r w:rsidR="0007237D" w:rsidRPr="0007237D">
        <w:rPr>
          <w:rFonts w:ascii="Times New Roman" w:eastAsia="Times New Roman" w:hAnsi="Times New Roman" w:cs="Times New Roman"/>
          <w:sz w:val="24"/>
          <w:szCs w:val="24"/>
        </w:rPr>
        <w:t xml:space="preserve"> are costs involved in owning an account such as cost of managing an account. The low-income earners hold a greater risk of attracting charges involved in having a low balance, maintenance fee and </w:t>
      </w:r>
      <w:r>
        <w:rPr>
          <w:rFonts w:ascii="Times New Roman" w:eastAsia="Times New Roman" w:hAnsi="Times New Roman" w:cs="Times New Roman"/>
          <w:sz w:val="24"/>
          <w:szCs w:val="24"/>
        </w:rPr>
        <w:t xml:space="preserve">getting account </w:t>
      </w:r>
      <w:r w:rsidR="0007237D" w:rsidRPr="0007237D">
        <w:rPr>
          <w:rFonts w:ascii="Times New Roman" w:eastAsia="Times New Roman" w:hAnsi="Times New Roman" w:cs="Times New Roman"/>
          <w:sz w:val="24"/>
          <w:szCs w:val="24"/>
        </w:rPr>
        <w:t>overdrafts. They are more likely to spend a huge proportion of their income on the transaction fee as they will keep sending and receiving money and hence increasing their economic distress</w:t>
      </w:r>
      <w:r w:rsidR="0007237D" w:rsidRPr="0007237D">
        <w:rPr>
          <w:rFonts w:ascii="Times New Roman" w:hAnsi="Times New Roman" w:cs="Times New Roman"/>
          <w:sz w:val="24"/>
          <w:szCs w:val="24"/>
        </w:rPr>
        <w:t xml:space="preserve"> (Klawitter  &amp; Fletschner, 2006)</w:t>
      </w:r>
      <w:r w:rsidR="0007237D" w:rsidRPr="0007237D">
        <w:rPr>
          <w:rFonts w:ascii="Times New Roman" w:eastAsia="Times New Roman" w:hAnsi="Times New Roman" w:cs="Times New Roman"/>
          <w:sz w:val="24"/>
          <w:szCs w:val="24"/>
        </w:rPr>
        <w:t>.</w:t>
      </w: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Methodology</w:t>
      </w:r>
      <w:r>
        <w:rPr>
          <w:rFonts w:ascii="Times New Roman" w:eastAsia="Times New Roman" w:hAnsi="Times New Roman" w:cs="Times New Roman"/>
          <w:b/>
          <w:bCs/>
          <w:sz w:val="24"/>
          <w:szCs w:val="24"/>
        </w:rPr>
        <w:t xml:space="preserve"> of the study</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study has analyzed data from the Pew Health Group from their report on Unbaked by Choice: A look at how the low-income </w:t>
      </w:r>
      <w:r w:rsidR="00DF4C29" w:rsidRPr="0007237D">
        <w:rPr>
          <w:rFonts w:ascii="Times New Roman" w:eastAsia="Times New Roman" w:hAnsi="Times New Roman" w:cs="Times New Roman"/>
          <w:sz w:val="24"/>
          <w:szCs w:val="24"/>
        </w:rPr>
        <w:t xml:space="preserve">households </w:t>
      </w:r>
      <w:r w:rsidR="00DF4C29">
        <w:rPr>
          <w:rFonts w:ascii="Times New Roman" w:eastAsia="Times New Roman" w:hAnsi="Times New Roman" w:cs="Times New Roman"/>
          <w:sz w:val="24"/>
          <w:szCs w:val="24"/>
        </w:rPr>
        <w:t xml:space="preserve">in </w:t>
      </w:r>
      <w:r w:rsidRPr="0007237D">
        <w:rPr>
          <w:rFonts w:ascii="Times New Roman" w:eastAsia="Times New Roman" w:hAnsi="Times New Roman" w:cs="Times New Roman"/>
          <w:sz w:val="24"/>
          <w:szCs w:val="24"/>
        </w:rPr>
        <w:t xml:space="preserve">Los Angeles </w:t>
      </w:r>
      <w:r w:rsidR="00DF4C29">
        <w:rPr>
          <w:rFonts w:ascii="Times New Roman" w:eastAsia="Times New Roman" w:hAnsi="Times New Roman" w:cs="Times New Roman"/>
          <w:sz w:val="24"/>
          <w:szCs w:val="24"/>
        </w:rPr>
        <w:t xml:space="preserve">manage the money, report done on </w:t>
      </w:r>
      <w:r w:rsidRPr="0007237D">
        <w:rPr>
          <w:rFonts w:ascii="Times New Roman" w:eastAsia="Times New Roman" w:hAnsi="Times New Roman" w:cs="Times New Roman"/>
          <w:sz w:val="24"/>
          <w:szCs w:val="24"/>
        </w:rPr>
        <w:t>July 2010. On the study design, the group focused on eight low-income residents in the neighborhood of Los Angeles which contained a combination of banked and unbanked customers. The neighborhood selected happens to be ethically and geographically diverse and hence, a good representation of the economy of the city. Some neighborhoods have a history of immigrant enclaves, others are stable and other experience gentrification pressures. </w:t>
      </w:r>
    </w:p>
    <w:p w:rsidR="0007237D" w:rsidRPr="0007237D" w:rsidRDefault="0007237D" w:rsidP="00DF4C29">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In these areas selected, the intention was to try and cover up a good sample of the Ameri</w:t>
      </w:r>
      <w:r w:rsidR="00DF4C29">
        <w:rPr>
          <w:rFonts w:ascii="Times New Roman" w:eastAsia="Times New Roman" w:hAnsi="Times New Roman" w:cs="Times New Roman"/>
          <w:sz w:val="24"/>
          <w:szCs w:val="24"/>
        </w:rPr>
        <w:t>can population with low income. On data collection</w:t>
      </w:r>
      <w:r w:rsidRPr="0007237D">
        <w:rPr>
          <w:rFonts w:ascii="Times New Roman" w:eastAsia="Times New Roman" w:hAnsi="Times New Roman" w:cs="Times New Roman"/>
          <w:sz w:val="24"/>
          <w:szCs w:val="24"/>
        </w:rPr>
        <w:t xml:space="preserve">, a door-to-door survey was conducted. The unbanked residents were represented by 1000 households </w:t>
      </w:r>
      <w:r w:rsidR="00DF4C29">
        <w:rPr>
          <w:rFonts w:ascii="Times New Roman" w:eastAsia="Times New Roman" w:hAnsi="Times New Roman" w:cs="Times New Roman"/>
          <w:sz w:val="24"/>
          <w:szCs w:val="24"/>
        </w:rPr>
        <w:t>and</w:t>
      </w:r>
      <w:r w:rsidRPr="0007237D">
        <w:rPr>
          <w:rFonts w:ascii="Times New Roman" w:eastAsia="Times New Roman" w:hAnsi="Times New Roman" w:cs="Times New Roman"/>
          <w:sz w:val="24"/>
          <w:szCs w:val="24"/>
        </w:rPr>
        <w:t xml:space="preserve"> the banked residents were represented by 1000 households who had one or more bank accounts. The methodology chose the door to door visit to reach out to households who could have been out of reach if the survey was c</w:t>
      </w:r>
      <w:r w:rsidR="00DF4C29">
        <w:rPr>
          <w:rFonts w:ascii="Times New Roman" w:eastAsia="Times New Roman" w:hAnsi="Times New Roman" w:cs="Times New Roman"/>
          <w:sz w:val="24"/>
          <w:szCs w:val="24"/>
        </w:rPr>
        <w:t xml:space="preserve">ollected via telephone or online. </w:t>
      </w:r>
      <w:r w:rsidRPr="0007237D">
        <w:rPr>
          <w:rFonts w:ascii="Times New Roman" w:eastAsia="Times New Roman" w:hAnsi="Times New Roman" w:cs="Times New Roman"/>
          <w:sz w:val="24"/>
          <w:szCs w:val="24"/>
        </w:rPr>
        <w:t xml:space="preserve">The first wave was conducted in 2009 July to fill in the 2019 data while the second wave was conducted in 2010 May to </w:t>
      </w:r>
      <w:r w:rsidR="00DF4C29">
        <w:rPr>
          <w:rFonts w:ascii="Times New Roman" w:eastAsia="Times New Roman" w:hAnsi="Times New Roman" w:cs="Times New Roman"/>
          <w:sz w:val="24"/>
          <w:szCs w:val="24"/>
        </w:rPr>
        <w:t>provide</w:t>
      </w:r>
      <w:r w:rsidRPr="0007237D">
        <w:rPr>
          <w:rFonts w:ascii="Times New Roman" w:eastAsia="Times New Roman" w:hAnsi="Times New Roman" w:cs="Times New Roman"/>
          <w:sz w:val="24"/>
          <w:szCs w:val="24"/>
        </w:rPr>
        <w:t xml:space="preserve"> the 2010 data. The study focused on the economic status of these ho</w:t>
      </w:r>
      <w:r w:rsidR="00DF4C29">
        <w:rPr>
          <w:rFonts w:ascii="Times New Roman" w:eastAsia="Times New Roman" w:hAnsi="Times New Roman" w:cs="Times New Roman"/>
          <w:sz w:val="24"/>
          <w:szCs w:val="24"/>
        </w:rPr>
        <w:t>useholds, financial behavior</w:t>
      </w:r>
      <w:r w:rsidRPr="0007237D">
        <w:rPr>
          <w:rFonts w:ascii="Times New Roman" w:eastAsia="Times New Roman" w:hAnsi="Times New Roman" w:cs="Times New Roman"/>
          <w:sz w:val="24"/>
          <w:szCs w:val="24"/>
        </w:rPr>
        <w:t xml:space="preserve"> and their perception of financial services. </w:t>
      </w:r>
    </w:p>
    <w:p w:rsid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According to a report done by the Federal Deposit Insurance Corporation (FDIC) in June 2011, a survey that involved an interview of about 54,000 interviewers</w:t>
      </w:r>
      <w:r w:rsidR="00DF4C29">
        <w:rPr>
          <w:rFonts w:ascii="Times New Roman" w:eastAsia="Times New Roman" w:hAnsi="Times New Roman" w:cs="Times New Roman"/>
          <w:sz w:val="24"/>
          <w:szCs w:val="24"/>
        </w:rPr>
        <w:t xml:space="preserve"> was done to estimate the number of banked residents and the unbanked. T</w:t>
      </w:r>
      <w:r w:rsidRPr="0007237D">
        <w:rPr>
          <w:rFonts w:ascii="Times New Roman" w:eastAsia="Times New Roman" w:hAnsi="Times New Roman" w:cs="Times New Roman"/>
          <w:sz w:val="24"/>
          <w:szCs w:val="24"/>
        </w:rPr>
        <w:t>he survey was conducted by the Bureau of Labor Statistics (BLS</w:t>
      </w:r>
      <w:r w:rsidR="00DF4C29">
        <w:rPr>
          <w:rFonts w:ascii="Times New Roman" w:eastAsia="Times New Roman" w:hAnsi="Times New Roman" w:cs="Times New Roman"/>
          <w:sz w:val="24"/>
          <w:szCs w:val="24"/>
        </w:rPr>
        <w:t xml:space="preserve">) and was collected in the US. The data collected consisted a </w:t>
      </w:r>
      <w:r w:rsidRPr="0007237D">
        <w:rPr>
          <w:rFonts w:ascii="Times New Roman" w:eastAsia="Times New Roman" w:hAnsi="Times New Roman" w:cs="Times New Roman"/>
          <w:sz w:val="24"/>
          <w:szCs w:val="24"/>
        </w:rPr>
        <w:t>labor force of several characteristics such as unemployment, employment, and people’s earnings.</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 The interviewers were diverse with different races, age, educational attainment, and marital status. The survey was also collected in 2 different phases; the first wave was conducted in January 2009 while the other had taken place in June 2011</w:t>
      </w:r>
      <w:r w:rsidR="00DF4C29">
        <w:rPr>
          <w:rFonts w:ascii="Times New Roman" w:hAnsi="Times New Roman" w:cs="Times New Roman"/>
          <w:sz w:val="24"/>
          <w:szCs w:val="24"/>
          <w:lang w:val="en"/>
        </w:rPr>
        <w:t xml:space="preserve">. </w:t>
      </w:r>
      <w:r w:rsidRPr="0007237D">
        <w:rPr>
          <w:rFonts w:ascii="Times New Roman" w:eastAsia="Times New Roman" w:hAnsi="Times New Roman" w:cs="Times New Roman"/>
          <w:sz w:val="24"/>
          <w:szCs w:val="24"/>
        </w:rPr>
        <w:t xml:space="preserve">The primary objective was to understand the estimate of US residents who were unbanked and who were banked and the reasons why. </w:t>
      </w:r>
    </w:p>
    <w:p w:rsidR="0007237D" w:rsidRPr="0007237D" w:rsidRDefault="0007237D" w:rsidP="0007237D">
      <w:pPr>
        <w:spacing w:after="0"/>
        <w:jc w:val="both"/>
        <w:rPr>
          <w:rFonts w:ascii="Times New Roman" w:eastAsia="Times New Roman" w:hAnsi="Times New Roman" w:cs="Times New Roman"/>
          <w:sz w:val="24"/>
          <w:szCs w:val="24"/>
        </w:rPr>
      </w:pPr>
    </w:p>
    <w:p w:rsidR="00FB41F0" w:rsidRPr="0007237D" w:rsidRDefault="00FB41F0" w:rsidP="0007237D">
      <w:pPr>
        <w:jc w:val="center"/>
        <w:rPr>
          <w:rFonts w:ascii="Times New Roman" w:hAnsi="Times New Roman" w:cs="Times New Roman"/>
          <w:b/>
          <w:sz w:val="24"/>
          <w:szCs w:val="24"/>
        </w:rPr>
      </w:pPr>
      <w:r w:rsidRPr="0007237D">
        <w:rPr>
          <w:rFonts w:ascii="Times New Roman" w:hAnsi="Times New Roman" w:cs="Times New Roman"/>
          <w:b/>
          <w:sz w:val="24"/>
          <w:szCs w:val="24"/>
        </w:rPr>
        <w:t>Data Analysis and Results</w:t>
      </w:r>
    </w:p>
    <w:p w:rsidR="00C70ECB"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1: </w:t>
      </w:r>
      <w:r w:rsidR="00C70ECB" w:rsidRPr="0007237D">
        <w:rPr>
          <w:rFonts w:ascii="Times New Roman" w:hAnsi="Times New Roman" w:cs="Times New Roman"/>
          <w:b/>
          <w:sz w:val="24"/>
          <w:szCs w:val="24"/>
        </w:rPr>
        <w:t>Financial behaviors from household income</w:t>
      </w:r>
      <w:r w:rsidRPr="0007237D">
        <w:rPr>
          <w:rFonts w:ascii="Times New Roman" w:hAnsi="Times New Roman" w:cs="Times New Roman"/>
          <w:b/>
          <w:sz w:val="24"/>
          <w:szCs w:val="24"/>
        </w:rPr>
        <w:t xml:space="preserve"> in form check</w:t>
      </w:r>
    </w:p>
    <w:tbl>
      <w:tblPr>
        <w:tblStyle w:val="LightList-Accent5"/>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1"/>
        <w:gridCol w:w="1817"/>
        <w:gridCol w:w="1529"/>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581"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Financial behaviors</w:t>
            </w:r>
          </w:p>
        </w:tc>
        <w:tc>
          <w:tcPr>
            <w:tcW w:w="1817"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Banked</w:t>
            </w:r>
          </w:p>
        </w:tc>
        <w:tc>
          <w:tcPr>
            <w:tcW w:w="1529"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Deposit all in bank and spend it from there</w:t>
            </w:r>
          </w:p>
        </w:tc>
        <w:tc>
          <w:tcPr>
            <w:tcW w:w="1817"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73%</w:t>
            </w:r>
          </w:p>
        </w:tc>
        <w:tc>
          <w:tcPr>
            <w:tcW w:w="1529"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r w:rsidR="0007237D" w:rsidRPr="0007237D" w:rsidTr="0007237D">
        <w:trPr>
          <w:trHeight w:val="468"/>
        </w:trPr>
        <w:tc>
          <w:tcPr>
            <w:cnfStyle w:val="001000000000" w:firstRow="0" w:lastRow="0" w:firstColumn="1" w:lastColumn="0" w:oddVBand="0" w:evenVBand="0" w:oddHBand="0" w:evenHBand="0" w:firstRowFirstColumn="0" w:firstRowLastColumn="0" w:lastRowFirstColumn="0" w:lastRowLastColumn="0"/>
            <w:tcW w:w="5581"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Cash the check at bank and spend</w:t>
            </w:r>
          </w:p>
        </w:tc>
        <w:tc>
          <w:tcPr>
            <w:tcW w:w="1817"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18%</w:t>
            </w:r>
          </w:p>
        </w:tc>
        <w:tc>
          <w:tcPr>
            <w:tcW w:w="1529"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16%</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Cash check at cash casher and spend</w:t>
            </w:r>
          </w:p>
        </w:tc>
        <w:tc>
          <w:tcPr>
            <w:tcW w:w="1817"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w:t>
            </w:r>
          </w:p>
        </w:tc>
        <w:tc>
          <w:tcPr>
            <w:tcW w:w="1529"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73%</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2: Financial behaviors from household income in form cash</w:t>
      </w:r>
    </w:p>
    <w:tbl>
      <w:tblPr>
        <w:tblStyle w:val="LightList-Accent5"/>
        <w:tblW w:w="8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620"/>
        <w:gridCol w:w="2064"/>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Financial behaviors</w:t>
            </w:r>
          </w:p>
        </w:tc>
        <w:tc>
          <w:tcPr>
            <w:tcW w:w="1620"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Banked</w:t>
            </w:r>
          </w:p>
        </w:tc>
        <w:tc>
          <w:tcPr>
            <w:tcW w:w="2064"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Keep it all and spend</w:t>
            </w:r>
          </w:p>
        </w:tc>
        <w:tc>
          <w:tcPr>
            <w:tcW w:w="162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48%</w:t>
            </w:r>
          </w:p>
        </w:tc>
        <w:tc>
          <w:tcPr>
            <w:tcW w:w="2064"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88%</w:t>
            </w:r>
          </w:p>
        </w:tc>
      </w:tr>
      <w:tr w:rsidR="0007237D" w:rsidRPr="0007237D" w:rsidTr="0007237D">
        <w:trPr>
          <w:trHeight w:val="502"/>
        </w:trPr>
        <w:tc>
          <w:tcPr>
            <w:cnfStyle w:val="001000000000" w:firstRow="0" w:lastRow="0" w:firstColumn="1" w:lastColumn="0" w:oddVBand="0" w:evenVBand="0" w:oddHBand="0" w:evenHBand="0" w:firstRowFirstColumn="0" w:firstRowLastColumn="0" w:lastRowFirstColumn="0" w:lastRowLastColumn="0"/>
            <w:tcW w:w="4428"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Deposit the cash at bank and spend</w:t>
            </w:r>
          </w:p>
        </w:tc>
        <w:tc>
          <w:tcPr>
            <w:tcW w:w="162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27%</w:t>
            </w:r>
          </w:p>
        </w:tc>
        <w:tc>
          <w:tcPr>
            <w:tcW w:w="2064"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Keep some and deposit the rest in bank</w:t>
            </w:r>
          </w:p>
        </w:tc>
        <w:tc>
          <w:tcPr>
            <w:tcW w:w="162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14%</w:t>
            </w:r>
          </w:p>
        </w:tc>
        <w:tc>
          <w:tcPr>
            <w:tcW w:w="2064"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w:t>
            </w:r>
          </w:p>
        </w:tc>
      </w:tr>
    </w:tbl>
    <w:p w:rsidR="0007237D" w:rsidRDefault="0007237D" w:rsidP="0007237D">
      <w:pPr>
        <w:jc w:val="both"/>
        <w:rPr>
          <w:rFonts w:ascii="Times New Roman" w:hAnsi="Times New Roman" w:cs="Times New Roman"/>
          <w:b/>
          <w:sz w:val="24"/>
          <w:szCs w:val="24"/>
        </w:rPr>
      </w:pPr>
    </w:p>
    <w:p w:rsid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Fig 3: Account History of the unbanked;</w:t>
      </w:r>
    </w:p>
    <w:tbl>
      <w:tblPr>
        <w:tblStyle w:val="LightList-Accent5"/>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4120"/>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Account history</w:t>
            </w:r>
          </w:p>
        </w:tc>
        <w:tc>
          <w:tcPr>
            <w:tcW w:w="4120"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 of unbanked Residents</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Never had an account anywhere</w:t>
            </w:r>
          </w:p>
        </w:tc>
        <w:tc>
          <w:tcPr>
            <w:tcW w:w="4120"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63%</w:t>
            </w:r>
          </w:p>
        </w:tc>
      </w:tr>
      <w:tr w:rsidR="0007237D" w:rsidRPr="0007237D" w:rsidTr="0007237D">
        <w:trPr>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Had an account but no longer uses </w:t>
            </w:r>
          </w:p>
        </w:tc>
        <w:tc>
          <w:tcPr>
            <w:tcW w:w="412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22%</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Ever opened an account but will never again</w:t>
            </w:r>
          </w:p>
        </w:tc>
        <w:tc>
          <w:tcPr>
            <w:tcW w:w="4120"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9%</w:t>
            </w:r>
          </w:p>
        </w:tc>
      </w:tr>
      <w:tr w:rsidR="0007237D" w:rsidRPr="0007237D" w:rsidTr="0007237D">
        <w:trPr>
          <w:trHeight w:val="511"/>
        </w:trPr>
        <w:tc>
          <w:tcPr>
            <w:cnfStyle w:val="001000000000" w:firstRow="0" w:lastRow="0" w:firstColumn="1" w:lastColumn="0" w:oddVBand="0" w:evenVBand="0" w:oddHBand="0" w:evenHBand="0" w:firstRowFirstColumn="0" w:firstRowLastColumn="0" w:lastRowFirstColumn="0" w:lastRowLastColumn="0"/>
            <w:tcW w:w="5148"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Opened an account in a different country</w:t>
            </w:r>
          </w:p>
        </w:tc>
        <w:tc>
          <w:tcPr>
            <w:tcW w:w="412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Other </w:t>
            </w:r>
          </w:p>
        </w:tc>
        <w:tc>
          <w:tcPr>
            <w:tcW w:w="4120"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bl>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4: Perceptions of personal finance</w:t>
      </w:r>
    </w:p>
    <w:tbl>
      <w:tblPr>
        <w:tblStyle w:val="LightList-Accent5"/>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2340"/>
        <w:gridCol w:w="2162"/>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Perceptions of personal finance</w:t>
            </w:r>
          </w:p>
        </w:tc>
        <w:tc>
          <w:tcPr>
            <w:tcW w:w="2340"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 xml:space="preserve">Banked </w:t>
            </w:r>
          </w:p>
        </w:tc>
        <w:tc>
          <w:tcPr>
            <w:tcW w:w="2162"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able to pay bills and save</w:t>
            </w:r>
          </w:p>
        </w:tc>
        <w:tc>
          <w:tcPr>
            <w:tcW w:w="234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24%</w:t>
            </w:r>
          </w:p>
        </w:tc>
        <w:tc>
          <w:tcPr>
            <w:tcW w:w="2162"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11%</w:t>
            </w:r>
          </w:p>
        </w:tc>
      </w:tr>
      <w:tr w:rsidR="0007237D" w:rsidRPr="0007237D" w:rsidTr="0007237D">
        <w:trPr>
          <w:trHeight w:val="557"/>
        </w:trPr>
        <w:tc>
          <w:tcPr>
            <w:cnfStyle w:val="001000000000" w:firstRow="0" w:lastRow="0" w:firstColumn="1" w:lastColumn="0" w:oddVBand="0" w:evenVBand="0" w:oddHBand="0" w:evenHBand="0" w:firstRowFirstColumn="0" w:firstRowLastColumn="0" w:lastRowFirstColumn="0" w:lastRowLastColumn="0"/>
            <w:tcW w:w="4695"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able to pay bills but no enough to save</w:t>
            </w:r>
          </w:p>
        </w:tc>
        <w:tc>
          <w:tcPr>
            <w:tcW w:w="234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49%</w:t>
            </w:r>
          </w:p>
        </w:tc>
        <w:tc>
          <w:tcPr>
            <w:tcW w:w="2162"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51%</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not making enough to pay regular expenses financial health</w:t>
            </w:r>
          </w:p>
        </w:tc>
        <w:tc>
          <w:tcPr>
            <w:tcW w:w="234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27%</w:t>
            </w:r>
          </w:p>
        </w:tc>
        <w:tc>
          <w:tcPr>
            <w:tcW w:w="2162"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38%</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5: Unbanked households categorized by ethnicity and race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317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Race</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Black</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21.5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21.4</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Hispanic</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19.2</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20.1</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American India</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15.3</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14.5</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lastRenderedPageBreak/>
              <w:t>Hawalian/ Pacific Islander</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9.0</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6.2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White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3.3</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4.0</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Asian</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2.7</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6: Unbanked households categorized by age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317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Age</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15-24 years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15.7</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17.4</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25-34 years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11.7</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12.7</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35-44 years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8.9</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8.9</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45-54 years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7.5</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8.1</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55-64 years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4.8</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5.5</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65+ years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3.9</w:t>
            </w:r>
          </w:p>
        </w:tc>
      </w:tr>
    </w:tbl>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7: Unbanked households categorized by Income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317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Income per year</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&gt;$15,000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27.0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29.6</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$15,000 to $30,000</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13.0</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11.4</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$30,000 to $50,000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4.1</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4.5</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$50,000 to $75,000</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At least $75,000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0.3</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0.2</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Fig 8: Unbanked households categorized by Household Type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317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Household Type</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Unmarried female family</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Unmarried Male family</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14.8</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14.3</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Individual female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6.6</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7.8</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Individual male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17.7</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11.4</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Married couples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3.7</w:t>
            </w:r>
          </w:p>
        </w:tc>
      </w:tr>
    </w:tbl>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9: Unbanked households categorized by Education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317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Education</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No high schools degree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24.4</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25.8</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Has a high school degree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10.9</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Some college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4.9</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5.9</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College degree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1.2</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w:t>
            </w:r>
          </w:p>
        </w:tc>
      </w:tr>
    </w:tbl>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10: Unbanked households categorized by Employment Status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317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Employment Status</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Unemployed</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19.1</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22.5</w:t>
            </w:r>
          </w:p>
        </w:tc>
      </w:tr>
      <w:tr w:rsidR="0007237D" w:rsidRPr="0007237D" w:rsidTr="00F3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Not in labor force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9.7</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11.0</w:t>
            </w:r>
          </w:p>
        </w:tc>
      </w:tr>
      <w:tr w:rsidR="0007237D" w:rsidRPr="0007237D" w:rsidTr="00F317BA">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Employed</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5.3</w:t>
            </w:r>
          </w:p>
        </w:tc>
      </w:tr>
    </w:tbl>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Results</w:t>
      </w: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Fig1: Financial behaviors from household income in form check</w:t>
      </w:r>
    </w:p>
    <w:p w:rsidR="00C70ECB" w:rsidRPr="0007237D" w:rsidRDefault="00C70ECB"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266BC734" wp14:editId="0FC5D715">
            <wp:extent cx="4724400" cy="31718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7237D" w:rsidRPr="0007237D" w:rsidRDefault="0007237D" w:rsidP="0007237D">
      <w:pPr>
        <w:jc w:val="both"/>
        <w:rPr>
          <w:rFonts w:ascii="Times New Roman" w:hAnsi="Times New Roman" w:cs="Times New Roman"/>
          <w:sz w:val="24"/>
          <w:szCs w:val="24"/>
        </w:rPr>
      </w:pPr>
      <w:r w:rsidRPr="0007237D">
        <w:rPr>
          <w:rFonts w:ascii="Times New Roman" w:hAnsi="Times New Roman" w:cs="Times New Roman"/>
          <w:b/>
          <w:sz w:val="24"/>
          <w:szCs w:val="24"/>
        </w:rPr>
        <w:t>Fig 2: Financial behaviors from household income in form cash</w:t>
      </w:r>
      <w:r w:rsidRPr="0007237D">
        <w:rPr>
          <w:rFonts w:ascii="Times New Roman" w:hAnsi="Times New Roman" w:cs="Times New Roman"/>
          <w:noProof/>
          <w:sz w:val="24"/>
          <w:szCs w:val="24"/>
        </w:rPr>
        <w:drawing>
          <wp:inline distT="0" distB="0" distL="0" distR="0" wp14:anchorId="33D8F528" wp14:editId="2541BFAC">
            <wp:extent cx="4676775" cy="33813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3: </w:t>
      </w:r>
      <w:r>
        <w:rPr>
          <w:rFonts w:ascii="Times New Roman" w:hAnsi="Times New Roman" w:cs="Times New Roman"/>
          <w:b/>
          <w:sz w:val="24"/>
          <w:szCs w:val="24"/>
        </w:rPr>
        <w:t>Account History of the unbanked</w:t>
      </w:r>
    </w:p>
    <w:p w:rsidR="00881309" w:rsidRPr="0007237D" w:rsidRDefault="00881309"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6662EF8A" wp14:editId="7C8C7AF6">
            <wp:extent cx="4572000" cy="2743200"/>
            <wp:effectExtent l="0" t="0" r="1905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4: </w:t>
      </w:r>
      <w:r w:rsidR="005416B5" w:rsidRPr="0007237D">
        <w:rPr>
          <w:rFonts w:ascii="Times New Roman" w:hAnsi="Times New Roman" w:cs="Times New Roman"/>
          <w:b/>
          <w:sz w:val="24"/>
          <w:szCs w:val="24"/>
        </w:rPr>
        <w:t xml:space="preserve">Perceptions of personal </w:t>
      </w:r>
      <w:r w:rsidR="00881309" w:rsidRPr="0007237D">
        <w:rPr>
          <w:rFonts w:ascii="Times New Roman" w:hAnsi="Times New Roman" w:cs="Times New Roman"/>
          <w:b/>
          <w:sz w:val="24"/>
          <w:szCs w:val="24"/>
        </w:rPr>
        <w:t>finance</w:t>
      </w:r>
    </w:p>
    <w:p w:rsidR="005416B5"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34563CE8" wp14:editId="6B6B6EC3">
            <wp:extent cx="4476750" cy="2771775"/>
            <wp:effectExtent l="38100" t="0" r="19050" b="952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jc w:val="both"/>
        <w:rPr>
          <w:rFonts w:ascii="Times New Roman" w:hAnsi="Times New Roman" w:cs="Times New Roman"/>
          <w:sz w:val="24"/>
          <w:szCs w:val="24"/>
        </w:rPr>
      </w:pPr>
    </w:p>
    <w:p w:rsidR="00C91652" w:rsidRPr="0007237D" w:rsidRDefault="00C91652"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5</w:t>
      </w:r>
      <w:r w:rsidRPr="0007237D">
        <w:rPr>
          <w:rFonts w:ascii="Times New Roman" w:hAnsi="Times New Roman" w:cs="Times New Roman"/>
          <w:b/>
          <w:sz w:val="24"/>
          <w:szCs w:val="24"/>
        </w:rPr>
        <w:t xml:space="preserve">: Unbanked households categorized by </w:t>
      </w:r>
      <w:r w:rsidR="00046473" w:rsidRPr="0007237D">
        <w:rPr>
          <w:rFonts w:ascii="Times New Roman" w:hAnsi="Times New Roman" w:cs="Times New Roman"/>
          <w:b/>
          <w:sz w:val="24"/>
          <w:szCs w:val="24"/>
        </w:rPr>
        <w:t>ethnicity and race in 2009 and 2011</w:t>
      </w:r>
    </w:p>
    <w:p w:rsidR="0007237D" w:rsidRPr="0007237D" w:rsidRDefault="00326E9D"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138530EB" wp14:editId="77B2676F">
            <wp:extent cx="5267325" cy="3276600"/>
            <wp:effectExtent l="0" t="0" r="9525"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E6802" w:rsidRPr="0007237D" w:rsidRDefault="0007237D" w:rsidP="0007237D">
      <w:pPr>
        <w:jc w:val="both"/>
        <w:rPr>
          <w:rFonts w:ascii="Times New Roman" w:hAnsi="Times New Roman" w:cs="Times New Roman"/>
          <w:sz w:val="24"/>
          <w:szCs w:val="24"/>
        </w:rPr>
      </w:pPr>
      <w:r w:rsidRPr="0007237D">
        <w:rPr>
          <w:rFonts w:ascii="Times New Roman" w:hAnsi="Times New Roman" w:cs="Times New Roman"/>
          <w:b/>
          <w:sz w:val="24"/>
          <w:szCs w:val="24"/>
        </w:rPr>
        <w:t xml:space="preserve">Fig 6: </w:t>
      </w:r>
      <w:r w:rsidR="00046473" w:rsidRPr="0007237D">
        <w:rPr>
          <w:rFonts w:ascii="Times New Roman" w:hAnsi="Times New Roman" w:cs="Times New Roman"/>
          <w:b/>
          <w:sz w:val="24"/>
          <w:szCs w:val="24"/>
        </w:rPr>
        <w:t>Unbanked households categorized by age in 2009 and 2011</w:t>
      </w:r>
      <w:r w:rsidR="004E6802" w:rsidRPr="0007237D">
        <w:rPr>
          <w:rFonts w:ascii="Times New Roman" w:hAnsi="Times New Roman" w:cs="Times New Roman"/>
          <w:noProof/>
          <w:sz w:val="24"/>
          <w:szCs w:val="24"/>
        </w:rPr>
        <w:drawing>
          <wp:inline distT="0" distB="0" distL="0" distR="0" wp14:anchorId="1236F2C8" wp14:editId="610C93E2">
            <wp:extent cx="5181600" cy="3762375"/>
            <wp:effectExtent l="0" t="0" r="1905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8121F" w:rsidRPr="0007237D" w:rsidRDefault="00E8121F"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7</w:t>
      </w:r>
      <w:r w:rsidRPr="0007237D">
        <w:rPr>
          <w:rFonts w:ascii="Times New Roman" w:hAnsi="Times New Roman" w:cs="Times New Roman"/>
          <w:b/>
          <w:sz w:val="24"/>
          <w:szCs w:val="24"/>
        </w:rPr>
        <w:t>: Unbanked households categorized by Income in 2009 and 2011</w:t>
      </w:r>
    </w:p>
    <w:p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3A922BE7" wp14:editId="14AB1EDA">
            <wp:extent cx="5114925" cy="2762250"/>
            <wp:effectExtent l="0" t="0" r="9525"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777AF" w:rsidRPr="0007237D" w:rsidRDefault="005777AF"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8</w:t>
      </w:r>
      <w:r w:rsidRPr="0007237D">
        <w:rPr>
          <w:rFonts w:ascii="Times New Roman" w:hAnsi="Times New Roman" w:cs="Times New Roman"/>
          <w:b/>
          <w:sz w:val="24"/>
          <w:szCs w:val="24"/>
        </w:rPr>
        <w:t>: Unbanked households categorized by Household Type in 2009 and 2011</w:t>
      </w:r>
    </w:p>
    <w:p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03CB542F" wp14:editId="2A695163">
            <wp:extent cx="5076825" cy="3829050"/>
            <wp:effectExtent l="0" t="0" r="9525"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6FB6" w:rsidRPr="0007237D" w:rsidRDefault="00C56FB6"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9</w:t>
      </w:r>
      <w:r w:rsidRPr="0007237D">
        <w:rPr>
          <w:rFonts w:ascii="Times New Roman" w:hAnsi="Times New Roman" w:cs="Times New Roman"/>
          <w:b/>
          <w:sz w:val="24"/>
          <w:szCs w:val="24"/>
        </w:rPr>
        <w:t>: Unbanked households categorized by Education in 2009 and 2011</w:t>
      </w:r>
    </w:p>
    <w:p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2564134A" wp14:editId="0B44CCF0">
            <wp:extent cx="5391150" cy="3048000"/>
            <wp:effectExtent l="0" t="0" r="19050"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56FB6" w:rsidRPr="0007237D" w:rsidRDefault="00C56FB6"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10</w:t>
      </w:r>
      <w:r w:rsidRPr="0007237D">
        <w:rPr>
          <w:rFonts w:ascii="Times New Roman" w:hAnsi="Times New Roman" w:cs="Times New Roman"/>
          <w:b/>
          <w:sz w:val="24"/>
          <w:szCs w:val="24"/>
        </w:rPr>
        <w:t>: Unbanked households categorized by Employment Status in 2009 and 2011</w:t>
      </w:r>
    </w:p>
    <w:p w:rsidR="00D417AE" w:rsidRPr="0007237D" w:rsidRDefault="00881309"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6976B880" wp14:editId="0A90F1E0">
            <wp:extent cx="5019675" cy="367665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Conclusion</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study concludes that check cashing has mainly been practiced by low-income earners who are unbanked and have no plan to open a bank account in the future. It is unreasonable for most of the residents to participate in formal banking services for it is more expensive to them since the financial institutions are remotely located in areas where low-income earners are </w:t>
      </w:r>
      <w:r w:rsidR="004A579B">
        <w:rPr>
          <w:rFonts w:ascii="Times New Roman" w:eastAsia="Times New Roman" w:hAnsi="Times New Roman" w:cs="Times New Roman"/>
          <w:sz w:val="24"/>
          <w:szCs w:val="24"/>
        </w:rPr>
        <w:t xml:space="preserve">highly located. Most </w:t>
      </w:r>
      <w:r w:rsidRPr="0007237D">
        <w:rPr>
          <w:rFonts w:ascii="Times New Roman" w:eastAsia="Times New Roman" w:hAnsi="Times New Roman" w:cs="Times New Roman"/>
          <w:sz w:val="24"/>
          <w:szCs w:val="24"/>
        </w:rPr>
        <w:t>low-income earners include minority communities. The low-income earners have been closely related togeth</w:t>
      </w:r>
      <w:r w:rsidR="004A579B">
        <w:rPr>
          <w:rFonts w:ascii="Times New Roman" w:eastAsia="Times New Roman" w:hAnsi="Times New Roman" w:cs="Times New Roman"/>
          <w:sz w:val="24"/>
          <w:szCs w:val="24"/>
        </w:rPr>
        <w:t xml:space="preserve">er with low levels of education.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Low financial services are more acute on individuals such as domestic workers including shop assistants and hairdressers. These findings also match the category of people with a low educational background even though it is worth noting that low educational background alone is </w:t>
      </w:r>
      <w:r w:rsidR="004A579B">
        <w:rPr>
          <w:rFonts w:ascii="Times New Roman" w:eastAsia="Times New Roman" w:hAnsi="Times New Roman" w:cs="Times New Roman"/>
          <w:sz w:val="24"/>
          <w:szCs w:val="24"/>
        </w:rPr>
        <w:t xml:space="preserve">not </w:t>
      </w:r>
      <w:r w:rsidRPr="0007237D">
        <w:rPr>
          <w:rFonts w:ascii="Times New Roman" w:eastAsia="Times New Roman" w:hAnsi="Times New Roman" w:cs="Times New Roman"/>
          <w:sz w:val="24"/>
          <w:szCs w:val="24"/>
        </w:rPr>
        <w:t>sufficient to explain the lack of financial services. On the other hand,</w:t>
      </w:r>
      <w:r w:rsidR="004A579B">
        <w:rPr>
          <w:rFonts w:ascii="Times New Roman" w:eastAsia="Times New Roman" w:hAnsi="Times New Roman" w:cs="Times New Roman"/>
          <w:sz w:val="24"/>
          <w:szCs w:val="24"/>
        </w:rPr>
        <w:t xml:space="preserve"> most</w:t>
      </w:r>
      <w:r w:rsidRPr="0007237D">
        <w:rPr>
          <w:rFonts w:ascii="Times New Roman" w:eastAsia="Times New Roman" w:hAnsi="Times New Roman" w:cs="Times New Roman"/>
          <w:sz w:val="24"/>
          <w:szCs w:val="24"/>
        </w:rPr>
        <w:t xml:space="preserve"> individuals with professions and holds a university degree have access to banking services. </w:t>
      </w:r>
    </w:p>
    <w:p w:rsid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Consumer involvement in the financial markets will create wealth for participants, build assets, and reduce discriminatory and theft practices in the lending process. It will also promote economic stability and </w:t>
      </w:r>
      <w:r w:rsidR="004A579B">
        <w:rPr>
          <w:rFonts w:ascii="Times New Roman" w:eastAsia="Times New Roman" w:hAnsi="Times New Roman" w:cs="Times New Roman"/>
          <w:sz w:val="24"/>
          <w:szCs w:val="24"/>
        </w:rPr>
        <w:t>stabilize</w:t>
      </w:r>
      <w:r w:rsidRPr="0007237D">
        <w:rPr>
          <w:rFonts w:ascii="Times New Roman" w:eastAsia="Times New Roman" w:hAnsi="Times New Roman" w:cs="Times New Roman"/>
          <w:sz w:val="24"/>
          <w:szCs w:val="24"/>
        </w:rPr>
        <w:t xml:space="preserve"> </w:t>
      </w:r>
      <w:r w:rsidR="004A579B">
        <w:rPr>
          <w:rFonts w:ascii="Times New Roman" w:eastAsia="Times New Roman" w:hAnsi="Times New Roman" w:cs="Times New Roman"/>
          <w:sz w:val="24"/>
          <w:szCs w:val="24"/>
        </w:rPr>
        <w:t xml:space="preserve">the economy </w:t>
      </w:r>
      <w:r w:rsidRPr="0007237D">
        <w:rPr>
          <w:rFonts w:ascii="Times New Roman" w:eastAsia="Times New Roman" w:hAnsi="Times New Roman" w:cs="Times New Roman"/>
          <w:sz w:val="24"/>
          <w:szCs w:val="24"/>
        </w:rPr>
        <w:t>of these communities. With greater understanding, policies such as DCIA of 1996 that was implemented streamline</w:t>
      </w:r>
      <w:r w:rsidR="004A579B">
        <w:rPr>
          <w:rFonts w:ascii="Times New Roman" w:eastAsia="Times New Roman" w:hAnsi="Times New Roman" w:cs="Times New Roman"/>
          <w:sz w:val="24"/>
          <w:szCs w:val="24"/>
        </w:rPr>
        <w:t>d</w:t>
      </w:r>
      <w:r w:rsidRPr="0007237D">
        <w:rPr>
          <w:rFonts w:ascii="Times New Roman" w:eastAsia="Times New Roman" w:hAnsi="Times New Roman" w:cs="Times New Roman"/>
          <w:sz w:val="24"/>
          <w:szCs w:val="24"/>
        </w:rPr>
        <w:t xml:space="preserve"> the financial market of the country.</w:t>
      </w:r>
    </w:p>
    <w:p w:rsidR="0007237D" w:rsidRPr="0007237D" w:rsidRDefault="0007237D" w:rsidP="0007237D">
      <w:pPr>
        <w:spacing w:after="0"/>
        <w:ind w:firstLine="720"/>
        <w:jc w:val="center"/>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Policy Recommendations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literature findings show the financial organization of the US recognizes the need to get engaged with the unbanked ethnic minority communities including the immigrants. </w:t>
      </w:r>
      <w:r>
        <w:rPr>
          <w:rFonts w:ascii="Times New Roman" w:eastAsia="Times New Roman" w:hAnsi="Times New Roman" w:cs="Times New Roman"/>
          <w:sz w:val="24"/>
          <w:szCs w:val="24"/>
        </w:rPr>
        <w:t>T</w:t>
      </w:r>
      <w:r w:rsidRPr="0007237D">
        <w:rPr>
          <w:rFonts w:ascii="Times New Roman" w:eastAsia="Times New Roman" w:hAnsi="Times New Roman" w:cs="Times New Roman"/>
          <w:sz w:val="24"/>
          <w:szCs w:val="24"/>
        </w:rPr>
        <w:t xml:space="preserve">herefore, to promote a cultural heritage for all, community-based organizations, credit unions, </w:t>
      </w:r>
      <w:r w:rsidRPr="0007237D">
        <w:rPr>
          <w:rFonts w:ascii="Times New Roman" w:eastAsia="Times New Roman" w:hAnsi="Times New Roman" w:cs="Times New Roman"/>
          <w:sz w:val="24"/>
          <w:szCs w:val="24"/>
        </w:rPr>
        <w:lastRenderedPageBreak/>
        <w:t>and banks should come up with products that attract and accommodate these customers that will ensure that they maintain their linkage of cultural practices and their country of origin.</w:t>
      </w: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survey in this study suggests some policies to the financial institutions, policymakers, and other stakeholders whose objective is to improve the financial services in the US.</w:t>
      </w:r>
      <w:r w:rsidR="00FE3631">
        <w:rPr>
          <w:rFonts w:ascii="Times New Roman" w:eastAsia="Times New Roman" w:hAnsi="Times New Roman" w:cs="Times New Roman"/>
          <w:sz w:val="24"/>
          <w:szCs w:val="24"/>
        </w:rPr>
        <w:t xml:space="preserve"> They include;</w:t>
      </w:r>
    </w:p>
    <w:p w:rsidR="00FE3631" w:rsidRDefault="0007237D" w:rsidP="0007237D">
      <w:pPr>
        <w:numPr>
          <w:ilvl w:val="0"/>
          <w:numId w:val="6"/>
        </w:numPr>
        <w:spacing w:after="0"/>
        <w:jc w:val="both"/>
        <w:rPr>
          <w:rFonts w:ascii="Times New Roman" w:eastAsia="Times New Roman" w:hAnsi="Times New Roman" w:cs="Times New Roman"/>
          <w:sz w:val="24"/>
          <w:szCs w:val="24"/>
        </w:rPr>
      </w:pPr>
      <w:r w:rsidRPr="00FE3631">
        <w:rPr>
          <w:rFonts w:ascii="Times New Roman" w:eastAsia="Times New Roman" w:hAnsi="Times New Roman" w:cs="Times New Roman"/>
          <w:sz w:val="24"/>
          <w:szCs w:val="24"/>
        </w:rPr>
        <w:t xml:space="preserve">A great understanding of the different segmentation of the under banked and unbanked populations will improve the economy. Different people in various communities amongst the under banked and the unbanked groups have different demand levels of financial services. By understanding each of them, will help to come up with products that are most effective for these groups. Most under banked and unbanked households face most economic distress such as unemployment. With this understanding, it would be easy to work together with the public sectors, private sectors, and the financial institution as they serve their </w:t>
      </w:r>
      <w:r w:rsidR="00FE3631">
        <w:rPr>
          <w:rFonts w:ascii="Times New Roman" w:eastAsia="Times New Roman" w:hAnsi="Times New Roman" w:cs="Times New Roman"/>
          <w:sz w:val="24"/>
          <w:szCs w:val="24"/>
        </w:rPr>
        <w:t>economic goal.</w:t>
      </w:r>
    </w:p>
    <w:p w:rsidR="0007237D" w:rsidRPr="00FE3631" w:rsidRDefault="0007237D" w:rsidP="0007237D">
      <w:pPr>
        <w:numPr>
          <w:ilvl w:val="0"/>
          <w:numId w:val="6"/>
        </w:numPr>
        <w:spacing w:after="0"/>
        <w:jc w:val="both"/>
        <w:rPr>
          <w:rFonts w:ascii="Times New Roman" w:eastAsia="Times New Roman" w:hAnsi="Times New Roman" w:cs="Times New Roman"/>
          <w:sz w:val="24"/>
          <w:szCs w:val="24"/>
        </w:rPr>
      </w:pPr>
      <w:r w:rsidRPr="00FE3631">
        <w:rPr>
          <w:rFonts w:ascii="Times New Roman" w:eastAsia="Times New Roman" w:hAnsi="Times New Roman" w:cs="Times New Roman"/>
          <w:sz w:val="24"/>
          <w:szCs w:val="24"/>
        </w:rPr>
        <w:t>Opening a bank account is not a guarantee it will run till long-term. Most households get in and out of the banking system depended on the circumstance at hand. For example, about half of the unbanked households had once opened an account, and once it was difficult to run and maintain one, they are unlikely to be in the banking group ever again. Therefore, the financial efforts should not only include fetching the unbanked into banking but also should work in maintaining the banked group</w:t>
      </w:r>
      <w:r w:rsidR="00FE3631">
        <w:rPr>
          <w:rFonts w:ascii="Times New Roman" w:eastAsia="Times New Roman" w:hAnsi="Times New Roman" w:cs="Times New Roman"/>
          <w:sz w:val="24"/>
          <w:szCs w:val="24"/>
        </w:rPr>
        <w:t xml:space="preserve"> in the financial banking system</w:t>
      </w:r>
      <w:r w:rsidRPr="00FE3631">
        <w:rPr>
          <w:rFonts w:ascii="Times New Roman" w:eastAsia="Times New Roman" w:hAnsi="Times New Roman" w:cs="Times New Roman"/>
          <w:sz w:val="24"/>
          <w:szCs w:val="24"/>
        </w:rPr>
        <w:t>. This can be possible by offering low charges for deposits and very minimal maintenance charges with transparent terms and conditions.</w:t>
      </w:r>
    </w:p>
    <w:p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Unbanked households that have had an account previously are likely to have positive perceptions of having a bank account as compared to the households who have no such experience. </w:t>
      </w:r>
    </w:p>
    <w:p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The financial institutions in the market will be required to make their p</w:t>
      </w:r>
      <w:r w:rsidR="00FE3631">
        <w:rPr>
          <w:rFonts w:ascii="Times New Roman" w:eastAsia="Times New Roman" w:hAnsi="Times New Roman" w:cs="Times New Roman"/>
          <w:sz w:val="24"/>
          <w:szCs w:val="24"/>
        </w:rPr>
        <w:t>roducts faster, more convenient</w:t>
      </w:r>
      <w:r w:rsidRPr="0007237D">
        <w:rPr>
          <w:rFonts w:ascii="Times New Roman" w:eastAsia="Times New Roman" w:hAnsi="Times New Roman" w:cs="Times New Roman"/>
          <w:sz w:val="24"/>
          <w:szCs w:val="24"/>
        </w:rPr>
        <w:t xml:space="preserve"> and include low qualifications for opening a bank account. The financial sector can introduce mobile technology to fasten transactions and increase convenience. </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F00CEC" w:rsidRDefault="00F00CEC" w:rsidP="0007237D">
      <w:pPr>
        <w:jc w:val="both"/>
        <w:rPr>
          <w:rFonts w:ascii="Times New Roman" w:hAnsi="Times New Roman" w:cs="Times New Roman"/>
          <w:b/>
          <w:sz w:val="24"/>
          <w:szCs w:val="24"/>
        </w:rPr>
      </w:pPr>
    </w:p>
    <w:p w:rsidR="00DC0C76" w:rsidRPr="0007237D" w:rsidRDefault="00DC0C76" w:rsidP="0007237D">
      <w:pPr>
        <w:jc w:val="both"/>
        <w:rPr>
          <w:rFonts w:ascii="Times New Roman" w:hAnsi="Times New Roman" w:cs="Times New Roman"/>
          <w:b/>
          <w:sz w:val="24"/>
          <w:szCs w:val="24"/>
        </w:rPr>
      </w:pPr>
      <w:bookmarkStart w:id="0" w:name="_GoBack"/>
      <w:bookmarkEnd w:id="0"/>
      <w:r w:rsidRPr="0007237D">
        <w:rPr>
          <w:rFonts w:ascii="Times New Roman" w:hAnsi="Times New Roman" w:cs="Times New Roman"/>
          <w:b/>
          <w:sz w:val="24"/>
          <w:szCs w:val="24"/>
        </w:rPr>
        <w:lastRenderedPageBreak/>
        <w:t>References</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Bos, M., Carter, S., &amp; Skiba, P. M. (2012). The pawn industry and its customers: The united states and europe. Vanderbilt Law and Economics Research Paper, (12-26).</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Burhouse, S., &amp; Osaki, Y. (2012). 2011 FDIC National survey of unbanked and underbanked households. US Federal Deposit Insurance Corporation, September.</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Burkey, M. L., &amp; Simkins, S. P. (2004). Factors affecting the location of payday lending and traditional banking services in North Carolina.</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Caskey, J. P. (1994). Fringe banking: Check-cashing outlets, pawnshops, and the poor. Russell Sage Foundation.</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shd w:val="clear" w:color="auto" w:fill="FFFFFF"/>
        </w:rPr>
        <w:t>Klawitter, M., &amp; Fletschner, D. (2006). Banked or Unbanked? Individual and family access to savings and checking accounts.</w:t>
      </w:r>
      <w:r w:rsidRPr="0007237D">
        <w:rPr>
          <w:rStyle w:val="apple-converted-space"/>
          <w:rFonts w:ascii="Times New Roman" w:hAnsi="Times New Roman" w:cs="Times New Roman"/>
          <w:sz w:val="24"/>
          <w:szCs w:val="24"/>
          <w:shd w:val="clear" w:color="auto" w:fill="FFFFFF"/>
        </w:rPr>
        <w:t> </w:t>
      </w:r>
      <w:r w:rsidRPr="0007237D">
        <w:rPr>
          <w:rFonts w:ascii="Times New Roman" w:hAnsi="Times New Roman" w:cs="Times New Roman"/>
          <w:i/>
          <w:iCs/>
          <w:sz w:val="24"/>
          <w:szCs w:val="24"/>
          <w:shd w:val="clear" w:color="auto" w:fill="FFFFFF"/>
        </w:rPr>
        <w:t>Daniel J. Evans School of Public Affairs Working Paper</w:t>
      </w:r>
      <w:r w:rsidRPr="0007237D">
        <w:rPr>
          <w:rFonts w:ascii="Times New Roman" w:hAnsi="Times New Roman" w:cs="Times New Roman"/>
          <w:sz w:val="24"/>
          <w:szCs w:val="24"/>
          <w:shd w:val="clear" w:color="auto" w:fill="FFFFFF"/>
        </w:rPr>
        <w:t>,</w:t>
      </w:r>
      <w:r w:rsidRPr="0007237D">
        <w:rPr>
          <w:rStyle w:val="apple-converted-space"/>
          <w:rFonts w:ascii="Times New Roman" w:hAnsi="Times New Roman" w:cs="Times New Roman"/>
          <w:sz w:val="24"/>
          <w:szCs w:val="24"/>
          <w:shd w:val="clear" w:color="auto" w:fill="FFFFFF"/>
        </w:rPr>
        <w:t> </w:t>
      </w:r>
      <w:r w:rsidRPr="0007237D">
        <w:rPr>
          <w:rFonts w:ascii="Times New Roman" w:hAnsi="Times New Roman" w:cs="Times New Roman"/>
          <w:i/>
          <w:iCs/>
          <w:sz w:val="24"/>
          <w:szCs w:val="24"/>
          <w:shd w:val="clear" w:color="auto" w:fill="FFFFFF"/>
        </w:rPr>
        <w:t>16</w:t>
      </w:r>
      <w:r w:rsidRPr="0007237D">
        <w:rPr>
          <w:rFonts w:ascii="Times New Roman" w:hAnsi="Times New Roman" w:cs="Times New Roman"/>
          <w:sz w:val="24"/>
          <w:szCs w:val="24"/>
          <w:shd w:val="clear" w:color="auto" w:fill="FFFFFF"/>
        </w:rPr>
        <w:t>.</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r w:rsidRPr="0007237D">
        <w:rPr>
          <w:rFonts w:ascii="Times New Roman" w:hAnsi="Times New Roman" w:cs="Times New Roman"/>
          <w:sz w:val="24"/>
          <w:szCs w:val="24"/>
          <w:lang w:val="en"/>
        </w:rPr>
        <w:t>Pew Health Group. (2010). Unbanked by choice: A look at how low-income Los Angeles households manage the money they earn (Report).</w:t>
      </w:r>
      <w:r w:rsidRPr="0007237D">
        <w:rPr>
          <w:rFonts w:ascii="Times New Roman" w:hAnsi="Times New Roman" w:cs="Times New Roman"/>
          <w:sz w:val="24"/>
          <w:szCs w:val="24"/>
        </w:rPr>
        <w:t xml:space="preserve"> </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Prager, R. A. (2009). Determinants of the locations of payday lenders, pawnshops and check-cashing outlets. Washington, DC: Federal Reserve Board.</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Shackman, J. D., &amp; Tenney, G. (2006). The Effects of Government Regulations on the Supply of Pawn Loans: evidence from 51 Jurisdictions in the US. Journal of Financial Services Research, 30(1), 69-91.</w:t>
      </w:r>
    </w:p>
    <w:sectPr w:rsidR="0007237D" w:rsidRPr="0007237D" w:rsidSect="0007237D">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8DF" w:rsidRDefault="003768DF" w:rsidP="0007237D">
      <w:pPr>
        <w:spacing w:after="0" w:line="240" w:lineRule="auto"/>
      </w:pPr>
      <w:r>
        <w:separator/>
      </w:r>
    </w:p>
  </w:endnote>
  <w:endnote w:type="continuationSeparator" w:id="0">
    <w:p w:rsidR="003768DF" w:rsidRDefault="003768DF" w:rsidP="0007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8DF" w:rsidRDefault="003768DF" w:rsidP="0007237D">
      <w:pPr>
        <w:spacing w:after="0" w:line="240" w:lineRule="auto"/>
      </w:pPr>
      <w:r>
        <w:separator/>
      </w:r>
    </w:p>
  </w:footnote>
  <w:footnote w:type="continuationSeparator" w:id="0">
    <w:p w:rsidR="003768DF" w:rsidRDefault="003768DF" w:rsidP="000723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3582414"/>
      <w:docPartObj>
        <w:docPartGallery w:val="Page Numbers (Top of Page)"/>
        <w:docPartUnique/>
      </w:docPartObj>
    </w:sdtPr>
    <w:sdtEndPr>
      <w:rPr>
        <w:noProof/>
      </w:rPr>
    </w:sdtEndPr>
    <w:sdtContent>
      <w:p w:rsidR="0007237D" w:rsidRPr="0007237D" w:rsidRDefault="0007237D" w:rsidP="0007237D">
        <w:pPr>
          <w:pStyle w:val="Header"/>
          <w:rPr>
            <w:rFonts w:ascii="Times New Roman" w:hAnsi="Times New Roman" w:cs="Times New Roman"/>
            <w:sz w:val="24"/>
            <w:szCs w:val="24"/>
          </w:rPr>
        </w:pPr>
        <w:r w:rsidRPr="0007237D">
          <w:rPr>
            <w:rFonts w:ascii="Times New Roman" w:eastAsia="Times New Roman" w:hAnsi="Times New Roman" w:cs="Times New Roman"/>
            <w:bCs/>
            <w:color w:val="0E101A"/>
            <w:sz w:val="24"/>
            <w:szCs w:val="24"/>
          </w:rPr>
          <w:t xml:space="preserve">Why Are There So Many Check Cashing In Minority Community in US </w:t>
        </w:r>
        <w:r w:rsidRPr="0007237D">
          <w:rPr>
            <w:rFonts w:ascii="Times New Roman" w:eastAsia="Times New Roman" w:hAnsi="Times New Roman" w:cs="Times New Roman"/>
            <w:bCs/>
            <w:color w:val="0E101A"/>
            <w:sz w:val="24"/>
            <w:szCs w:val="24"/>
          </w:rPr>
          <w:tab/>
          <w:t xml:space="preserve">         </w:t>
        </w:r>
        <w:r w:rsidRPr="0007237D">
          <w:rPr>
            <w:rFonts w:ascii="Times New Roman" w:hAnsi="Times New Roman" w:cs="Times New Roman"/>
            <w:sz w:val="24"/>
            <w:szCs w:val="24"/>
          </w:rPr>
          <w:fldChar w:fldCharType="begin"/>
        </w:r>
        <w:r w:rsidRPr="0007237D">
          <w:rPr>
            <w:rFonts w:ascii="Times New Roman" w:hAnsi="Times New Roman" w:cs="Times New Roman"/>
            <w:sz w:val="24"/>
            <w:szCs w:val="24"/>
          </w:rPr>
          <w:instrText xml:space="preserve"> PAGE   \* MERGEFORMAT </w:instrText>
        </w:r>
        <w:r w:rsidRPr="0007237D">
          <w:rPr>
            <w:rFonts w:ascii="Times New Roman" w:hAnsi="Times New Roman" w:cs="Times New Roman"/>
            <w:sz w:val="24"/>
            <w:szCs w:val="24"/>
          </w:rPr>
          <w:fldChar w:fldCharType="separate"/>
        </w:r>
        <w:r w:rsidR="00F00CEC">
          <w:rPr>
            <w:rFonts w:ascii="Times New Roman" w:hAnsi="Times New Roman" w:cs="Times New Roman"/>
            <w:noProof/>
            <w:sz w:val="24"/>
            <w:szCs w:val="24"/>
          </w:rPr>
          <w:t>22</w:t>
        </w:r>
        <w:r w:rsidRPr="0007237D">
          <w:rPr>
            <w:rFonts w:ascii="Times New Roman" w:hAnsi="Times New Roman" w:cs="Times New Roman"/>
            <w:noProof/>
            <w:sz w:val="24"/>
            <w:szCs w:val="24"/>
          </w:rPr>
          <w:fldChar w:fldCharType="end"/>
        </w:r>
      </w:p>
    </w:sdtContent>
  </w:sdt>
  <w:p w:rsidR="0007237D" w:rsidRPr="0007237D" w:rsidRDefault="000723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960238"/>
      <w:docPartObj>
        <w:docPartGallery w:val="Page Numbers (Top of Page)"/>
        <w:docPartUnique/>
      </w:docPartObj>
    </w:sdtPr>
    <w:sdtEndPr>
      <w:rPr>
        <w:noProof/>
      </w:rPr>
    </w:sdtEndPr>
    <w:sdtContent>
      <w:sdt>
        <w:sdtPr>
          <w:rPr>
            <w:rFonts w:ascii="Times New Roman" w:hAnsi="Times New Roman" w:cs="Times New Roman"/>
            <w:sz w:val="24"/>
            <w:szCs w:val="24"/>
          </w:rPr>
          <w:id w:val="1680995127"/>
          <w:docPartObj>
            <w:docPartGallery w:val="Page Numbers (Top of Page)"/>
            <w:docPartUnique/>
          </w:docPartObj>
        </w:sdtPr>
        <w:sdtEndPr>
          <w:rPr>
            <w:noProof/>
          </w:rPr>
        </w:sdtEndPr>
        <w:sdtContent>
          <w:p w:rsidR="0007237D" w:rsidRPr="0007237D" w:rsidRDefault="0007237D" w:rsidP="0007237D">
            <w:pPr>
              <w:spacing w:after="0"/>
              <w:rPr>
                <w:rFonts w:ascii="Times New Roman" w:eastAsia="Times New Roman" w:hAnsi="Times New Roman" w:cs="Times New Roman"/>
                <w:bCs/>
                <w:color w:val="0E101A"/>
                <w:sz w:val="24"/>
                <w:szCs w:val="24"/>
              </w:rPr>
            </w:pPr>
            <w:r>
              <w:rPr>
                <w:rFonts w:ascii="Times New Roman" w:hAnsi="Times New Roman" w:cs="Times New Roman"/>
                <w:sz w:val="24"/>
                <w:szCs w:val="24"/>
              </w:rPr>
              <w:t>Running head:</w:t>
            </w:r>
            <w:r w:rsidRPr="0007237D">
              <w:rPr>
                <w:rFonts w:ascii="Times New Roman" w:eastAsia="Times New Roman" w:hAnsi="Times New Roman" w:cs="Times New Roman"/>
                <w:bCs/>
                <w:color w:val="0E101A"/>
                <w:sz w:val="24"/>
                <w:szCs w:val="24"/>
              </w:rPr>
              <w:t xml:space="preserve"> Why Are There So Many Check Cashing In Minority Community </w:t>
            </w:r>
            <w:r>
              <w:rPr>
                <w:rFonts w:ascii="Times New Roman" w:eastAsia="Times New Roman" w:hAnsi="Times New Roman" w:cs="Times New Roman"/>
                <w:bCs/>
                <w:color w:val="0E101A"/>
                <w:sz w:val="24"/>
                <w:szCs w:val="24"/>
              </w:rPr>
              <w:t>in US</w:t>
            </w:r>
            <w:r w:rsidRPr="0007237D">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ab/>
            </w:r>
            <w:r w:rsidRPr="0007237D">
              <w:rPr>
                <w:rFonts w:ascii="Times New Roman" w:eastAsia="Times New Roman" w:hAnsi="Times New Roman" w:cs="Times New Roman"/>
                <w:bCs/>
                <w:color w:val="0E101A"/>
                <w:sz w:val="24"/>
                <w:szCs w:val="24"/>
              </w:rPr>
              <w:tab/>
              <w:t xml:space="preserve">        </w:t>
            </w:r>
            <w:r>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 xml:space="preserve">  </w:t>
            </w:r>
          </w:p>
        </w:sdtContent>
      </w:sdt>
      <w:p w:rsidR="0007237D" w:rsidRPr="0007237D" w:rsidRDefault="0007237D" w:rsidP="0007237D">
        <w:pPr>
          <w:pStyle w:val="Header"/>
          <w:rPr>
            <w:rFonts w:ascii="Times New Roman" w:hAnsi="Times New Roman" w:cs="Times New Roman"/>
            <w:sz w:val="24"/>
            <w:szCs w:val="24"/>
          </w:rPr>
        </w:pPr>
      </w:p>
      <w:p w:rsidR="0007237D" w:rsidRDefault="00F317BA">
        <w:pPr>
          <w:pStyle w:val="Header"/>
          <w:jc w:val="right"/>
        </w:pPr>
      </w:p>
    </w:sdtContent>
  </w:sdt>
  <w:p w:rsidR="0007237D" w:rsidRPr="0007237D" w:rsidRDefault="0007237D" w:rsidP="0007237D">
    <w:pPr>
      <w:spacing w:after="0"/>
      <w:rPr>
        <w:rFonts w:ascii="Times New Roman" w:eastAsia="Times New Roman" w:hAnsi="Times New Roman" w:cs="Times New Roman"/>
        <w:bCs/>
        <w:color w:val="0E101A"/>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82125"/>
    <w:multiLevelType w:val="multilevel"/>
    <w:tmpl w:val="5FEA0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5852652"/>
    <w:multiLevelType w:val="hybridMultilevel"/>
    <w:tmpl w:val="3E48C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106E9A"/>
    <w:multiLevelType w:val="hybridMultilevel"/>
    <w:tmpl w:val="EC6A2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E1DEF"/>
    <w:multiLevelType w:val="multilevel"/>
    <w:tmpl w:val="2AD4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F45883"/>
    <w:multiLevelType w:val="multilevel"/>
    <w:tmpl w:val="CE12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C55F18"/>
    <w:multiLevelType w:val="multilevel"/>
    <w:tmpl w:val="B908E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EB5"/>
    <w:rsid w:val="000262CF"/>
    <w:rsid w:val="00046473"/>
    <w:rsid w:val="000714A5"/>
    <w:rsid w:val="0007237D"/>
    <w:rsid w:val="000B20D6"/>
    <w:rsid w:val="0012202D"/>
    <w:rsid w:val="00136727"/>
    <w:rsid w:val="00176B73"/>
    <w:rsid w:val="00184CC9"/>
    <w:rsid w:val="00272788"/>
    <w:rsid w:val="0027609E"/>
    <w:rsid w:val="002C1E2D"/>
    <w:rsid w:val="002E0105"/>
    <w:rsid w:val="00326E9D"/>
    <w:rsid w:val="003303BE"/>
    <w:rsid w:val="003768DF"/>
    <w:rsid w:val="00394598"/>
    <w:rsid w:val="003A00B7"/>
    <w:rsid w:val="003E6B8C"/>
    <w:rsid w:val="003E708B"/>
    <w:rsid w:val="00424DF9"/>
    <w:rsid w:val="004318DE"/>
    <w:rsid w:val="004331EE"/>
    <w:rsid w:val="0045333B"/>
    <w:rsid w:val="0048771D"/>
    <w:rsid w:val="004A51F9"/>
    <w:rsid w:val="004A579B"/>
    <w:rsid w:val="004C318F"/>
    <w:rsid w:val="004D377D"/>
    <w:rsid w:val="004E6802"/>
    <w:rsid w:val="00513DCA"/>
    <w:rsid w:val="005416B5"/>
    <w:rsid w:val="005629B0"/>
    <w:rsid w:val="005777AF"/>
    <w:rsid w:val="005F16A9"/>
    <w:rsid w:val="00640FD8"/>
    <w:rsid w:val="00643C31"/>
    <w:rsid w:val="00685D4C"/>
    <w:rsid w:val="006B3C55"/>
    <w:rsid w:val="006E4E99"/>
    <w:rsid w:val="00717DC1"/>
    <w:rsid w:val="00724C93"/>
    <w:rsid w:val="007935AF"/>
    <w:rsid w:val="007E136B"/>
    <w:rsid w:val="00815EED"/>
    <w:rsid w:val="008366BE"/>
    <w:rsid w:val="00862663"/>
    <w:rsid w:val="00881309"/>
    <w:rsid w:val="008A7EB8"/>
    <w:rsid w:val="008D6413"/>
    <w:rsid w:val="00901F78"/>
    <w:rsid w:val="009B551F"/>
    <w:rsid w:val="009B5D61"/>
    <w:rsid w:val="009D06EF"/>
    <w:rsid w:val="009D102F"/>
    <w:rsid w:val="009F0085"/>
    <w:rsid w:val="00A41D76"/>
    <w:rsid w:val="00A85C21"/>
    <w:rsid w:val="00AB3006"/>
    <w:rsid w:val="00AD4180"/>
    <w:rsid w:val="00AF2AB2"/>
    <w:rsid w:val="00B05AD6"/>
    <w:rsid w:val="00B65834"/>
    <w:rsid w:val="00C31BBD"/>
    <w:rsid w:val="00C40B8C"/>
    <w:rsid w:val="00C55B09"/>
    <w:rsid w:val="00C56FB6"/>
    <w:rsid w:val="00C6319A"/>
    <w:rsid w:val="00C70ECB"/>
    <w:rsid w:val="00C91652"/>
    <w:rsid w:val="00C92B19"/>
    <w:rsid w:val="00CC11B0"/>
    <w:rsid w:val="00CF6518"/>
    <w:rsid w:val="00D05391"/>
    <w:rsid w:val="00D05AAA"/>
    <w:rsid w:val="00D264BD"/>
    <w:rsid w:val="00D417AE"/>
    <w:rsid w:val="00D515FD"/>
    <w:rsid w:val="00D96C64"/>
    <w:rsid w:val="00DC0C76"/>
    <w:rsid w:val="00DC10DB"/>
    <w:rsid w:val="00DC48AC"/>
    <w:rsid w:val="00DE1B1D"/>
    <w:rsid w:val="00DF4C29"/>
    <w:rsid w:val="00E00ED3"/>
    <w:rsid w:val="00E8121F"/>
    <w:rsid w:val="00ED4666"/>
    <w:rsid w:val="00F00CEC"/>
    <w:rsid w:val="00F23EB5"/>
    <w:rsid w:val="00F317BA"/>
    <w:rsid w:val="00F479B4"/>
    <w:rsid w:val="00FB41F0"/>
    <w:rsid w:val="00FB6DF2"/>
    <w:rsid w:val="00FD22EA"/>
    <w:rsid w:val="00FE3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04647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04647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5659">
      <w:bodyDiv w:val="1"/>
      <w:marLeft w:val="0"/>
      <w:marRight w:val="0"/>
      <w:marTop w:val="0"/>
      <w:marBottom w:val="0"/>
      <w:divBdr>
        <w:top w:val="none" w:sz="0" w:space="0" w:color="auto"/>
        <w:left w:val="none" w:sz="0" w:space="0" w:color="auto"/>
        <w:bottom w:val="none" w:sz="0" w:space="0" w:color="auto"/>
        <w:right w:val="none" w:sz="0" w:space="0" w:color="auto"/>
      </w:divBdr>
      <w:divsChild>
        <w:div w:id="2099357">
          <w:marLeft w:val="0"/>
          <w:marRight w:val="0"/>
          <w:marTop w:val="0"/>
          <w:marBottom w:val="0"/>
          <w:divBdr>
            <w:top w:val="none" w:sz="0" w:space="0" w:color="auto"/>
            <w:left w:val="none" w:sz="0" w:space="0" w:color="auto"/>
            <w:bottom w:val="none" w:sz="0" w:space="0" w:color="auto"/>
            <w:right w:val="none" w:sz="0" w:space="0" w:color="auto"/>
          </w:divBdr>
          <w:divsChild>
            <w:div w:id="1297099722">
              <w:marLeft w:val="0"/>
              <w:marRight w:val="0"/>
              <w:marTop w:val="0"/>
              <w:marBottom w:val="0"/>
              <w:divBdr>
                <w:top w:val="none" w:sz="0" w:space="0" w:color="auto"/>
                <w:left w:val="none" w:sz="0" w:space="0" w:color="auto"/>
                <w:bottom w:val="none" w:sz="0" w:space="0" w:color="auto"/>
                <w:right w:val="none" w:sz="0" w:space="0" w:color="auto"/>
              </w:divBdr>
            </w:div>
          </w:divsChild>
        </w:div>
        <w:div w:id="302122513">
          <w:marLeft w:val="0"/>
          <w:marRight w:val="0"/>
          <w:marTop w:val="0"/>
          <w:marBottom w:val="0"/>
          <w:divBdr>
            <w:top w:val="none" w:sz="0" w:space="0" w:color="auto"/>
            <w:left w:val="none" w:sz="0" w:space="0" w:color="auto"/>
            <w:bottom w:val="none" w:sz="0" w:space="0" w:color="auto"/>
            <w:right w:val="none" w:sz="0" w:space="0" w:color="auto"/>
          </w:divBdr>
          <w:divsChild>
            <w:div w:id="968315106">
              <w:marLeft w:val="0"/>
              <w:marRight w:val="0"/>
              <w:marTop w:val="0"/>
              <w:marBottom w:val="0"/>
              <w:divBdr>
                <w:top w:val="none" w:sz="0" w:space="0" w:color="auto"/>
                <w:left w:val="none" w:sz="0" w:space="0" w:color="auto"/>
                <w:bottom w:val="none" w:sz="0" w:space="0" w:color="auto"/>
                <w:right w:val="none" w:sz="0" w:space="0" w:color="auto"/>
              </w:divBdr>
            </w:div>
          </w:divsChild>
        </w:div>
        <w:div w:id="434637583">
          <w:marLeft w:val="0"/>
          <w:marRight w:val="0"/>
          <w:marTop w:val="0"/>
          <w:marBottom w:val="0"/>
          <w:divBdr>
            <w:top w:val="none" w:sz="0" w:space="0" w:color="auto"/>
            <w:left w:val="none" w:sz="0" w:space="0" w:color="auto"/>
            <w:bottom w:val="none" w:sz="0" w:space="0" w:color="auto"/>
            <w:right w:val="none" w:sz="0" w:space="0" w:color="auto"/>
          </w:divBdr>
          <w:divsChild>
            <w:div w:id="1784961745">
              <w:marLeft w:val="0"/>
              <w:marRight w:val="0"/>
              <w:marTop w:val="0"/>
              <w:marBottom w:val="0"/>
              <w:divBdr>
                <w:top w:val="none" w:sz="0" w:space="0" w:color="auto"/>
                <w:left w:val="none" w:sz="0" w:space="0" w:color="auto"/>
                <w:bottom w:val="none" w:sz="0" w:space="0" w:color="auto"/>
                <w:right w:val="none" w:sz="0" w:space="0" w:color="auto"/>
              </w:divBdr>
            </w:div>
          </w:divsChild>
        </w:div>
        <w:div w:id="648290792">
          <w:marLeft w:val="0"/>
          <w:marRight w:val="0"/>
          <w:marTop w:val="0"/>
          <w:marBottom w:val="0"/>
          <w:divBdr>
            <w:top w:val="none" w:sz="0" w:space="0" w:color="auto"/>
            <w:left w:val="none" w:sz="0" w:space="0" w:color="auto"/>
            <w:bottom w:val="none" w:sz="0" w:space="0" w:color="auto"/>
            <w:right w:val="none" w:sz="0" w:space="0" w:color="auto"/>
          </w:divBdr>
          <w:divsChild>
            <w:div w:id="1661343930">
              <w:marLeft w:val="0"/>
              <w:marRight w:val="0"/>
              <w:marTop w:val="0"/>
              <w:marBottom w:val="0"/>
              <w:divBdr>
                <w:top w:val="none" w:sz="0" w:space="0" w:color="auto"/>
                <w:left w:val="none" w:sz="0" w:space="0" w:color="auto"/>
                <w:bottom w:val="none" w:sz="0" w:space="0" w:color="auto"/>
                <w:right w:val="none" w:sz="0" w:space="0" w:color="auto"/>
              </w:divBdr>
            </w:div>
          </w:divsChild>
        </w:div>
        <w:div w:id="776947050">
          <w:marLeft w:val="0"/>
          <w:marRight w:val="0"/>
          <w:marTop w:val="0"/>
          <w:marBottom w:val="0"/>
          <w:divBdr>
            <w:top w:val="none" w:sz="0" w:space="0" w:color="auto"/>
            <w:left w:val="none" w:sz="0" w:space="0" w:color="auto"/>
            <w:bottom w:val="none" w:sz="0" w:space="0" w:color="auto"/>
            <w:right w:val="none" w:sz="0" w:space="0" w:color="auto"/>
          </w:divBdr>
          <w:divsChild>
            <w:div w:id="317879732">
              <w:marLeft w:val="0"/>
              <w:marRight w:val="0"/>
              <w:marTop w:val="0"/>
              <w:marBottom w:val="0"/>
              <w:divBdr>
                <w:top w:val="none" w:sz="0" w:space="0" w:color="auto"/>
                <w:left w:val="none" w:sz="0" w:space="0" w:color="auto"/>
                <w:bottom w:val="none" w:sz="0" w:space="0" w:color="auto"/>
                <w:right w:val="none" w:sz="0" w:space="0" w:color="auto"/>
              </w:divBdr>
            </w:div>
          </w:divsChild>
        </w:div>
        <w:div w:id="881400417">
          <w:marLeft w:val="0"/>
          <w:marRight w:val="0"/>
          <w:marTop w:val="0"/>
          <w:marBottom w:val="0"/>
          <w:divBdr>
            <w:top w:val="none" w:sz="0" w:space="0" w:color="auto"/>
            <w:left w:val="none" w:sz="0" w:space="0" w:color="auto"/>
            <w:bottom w:val="none" w:sz="0" w:space="0" w:color="auto"/>
            <w:right w:val="none" w:sz="0" w:space="0" w:color="auto"/>
          </w:divBdr>
          <w:divsChild>
            <w:div w:id="85079662">
              <w:marLeft w:val="0"/>
              <w:marRight w:val="0"/>
              <w:marTop w:val="0"/>
              <w:marBottom w:val="0"/>
              <w:divBdr>
                <w:top w:val="none" w:sz="0" w:space="0" w:color="auto"/>
                <w:left w:val="none" w:sz="0" w:space="0" w:color="auto"/>
                <w:bottom w:val="none" w:sz="0" w:space="0" w:color="auto"/>
                <w:right w:val="none" w:sz="0" w:space="0" w:color="auto"/>
              </w:divBdr>
            </w:div>
          </w:divsChild>
        </w:div>
        <w:div w:id="1130587377">
          <w:marLeft w:val="0"/>
          <w:marRight w:val="0"/>
          <w:marTop w:val="0"/>
          <w:marBottom w:val="0"/>
          <w:divBdr>
            <w:top w:val="none" w:sz="0" w:space="0" w:color="auto"/>
            <w:left w:val="none" w:sz="0" w:space="0" w:color="auto"/>
            <w:bottom w:val="none" w:sz="0" w:space="0" w:color="auto"/>
            <w:right w:val="none" w:sz="0" w:space="0" w:color="auto"/>
          </w:divBdr>
          <w:divsChild>
            <w:div w:id="943147005">
              <w:marLeft w:val="0"/>
              <w:marRight w:val="0"/>
              <w:marTop w:val="0"/>
              <w:marBottom w:val="0"/>
              <w:divBdr>
                <w:top w:val="none" w:sz="0" w:space="0" w:color="auto"/>
                <w:left w:val="none" w:sz="0" w:space="0" w:color="auto"/>
                <w:bottom w:val="none" w:sz="0" w:space="0" w:color="auto"/>
                <w:right w:val="none" w:sz="0" w:space="0" w:color="auto"/>
              </w:divBdr>
            </w:div>
          </w:divsChild>
        </w:div>
        <w:div w:id="1350982409">
          <w:marLeft w:val="0"/>
          <w:marRight w:val="0"/>
          <w:marTop w:val="0"/>
          <w:marBottom w:val="0"/>
          <w:divBdr>
            <w:top w:val="none" w:sz="0" w:space="0" w:color="auto"/>
            <w:left w:val="none" w:sz="0" w:space="0" w:color="auto"/>
            <w:bottom w:val="none" w:sz="0" w:space="0" w:color="auto"/>
            <w:right w:val="none" w:sz="0" w:space="0" w:color="auto"/>
          </w:divBdr>
          <w:divsChild>
            <w:div w:id="408891294">
              <w:marLeft w:val="0"/>
              <w:marRight w:val="0"/>
              <w:marTop w:val="0"/>
              <w:marBottom w:val="0"/>
              <w:divBdr>
                <w:top w:val="none" w:sz="0" w:space="0" w:color="auto"/>
                <w:left w:val="none" w:sz="0" w:space="0" w:color="auto"/>
                <w:bottom w:val="none" w:sz="0" w:space="0" w:color="auto"/>
                <w:right w:val="none" w:sz="0" w:space="0" w:color="auto"/>
              </w:divBdr>
            </w:div>
          </w:divsChild>
        </w:div>
        <w:div w:id="1446533442">
          <w:marLeft w:val="0"/>
          <w:marRight w:val="0"/>
          <w:marTop w:val="0"/>
          <w:marBottom w:val="0"/>
          <w:divBdr>
            <w:top w:val="none" w:sz="0" w:space="0" w:color="auto"/>
            <w:left w:val="none" w:sz="0" w:space="0" w:color="auto"/>
            <w:bottom w:val="none" w:sz="0" w:space="0" w:color="auto"/>
            <w:right w:val="none" w:sz="0" w:space="0" w:color="auto"/>
          </w:divBdr>
          <w:divsChild>
            <w:div w:id="1145580983">
              <w:marLeft w:val="0"/>
              <w:marRight w:val="0"/>
              <w:marTop w:val="0"/>
              <w:marBottom w:val="0"/>
              <w:divBdr>
                <w:top w:val="none" w:sz="0" w:space="0" w:color="auto"/>
                <w:left w:val="none" w:sz="0" w:space="0" w:color="auto"/>
                <w:bottom w:val="none" w:sz="0" w:space="0" w:color="auto"/>
                <w:right w:val="none" w:sz="0" w:space="0" w:color="auto"/>
              </w:divBdr>
            </w:div>
          </w:divsChild>
        </w:div>
        <w:div w:id="1497455629">
          <w:marLeft w:val="0"/>
          <w:marRight w:val="0"/>
          <w:marTop w:val="0"/>
          <w:marBottom w:val="0"/>
          <w:divBdr>
            <w:top w:val="none" w:sz="0" w:space="0" w:color="auto"/>
            <w:left w:val="none" w:sz="0" w:space="0" w:color="auto"/>
            <w:bottom w:val="none" w:sz="0" w:space="0" w:color="auto"/>
            <w:right w:val="none" w:sz="0" w:space="0" w:color="auto"/>
          </w:divBdr>
          <w:divsChild>
            <w:div w:id="1562137051">
              <w:marLeft w:val="0"/>
              <w:marRight w:val="0"/>
              <w:marTop w:val="0"/>
              <w:marBottom w:val="0"/>
              <w:divBdr>
                <w:top w:val="none" w:sz="0" w:space="0" w:color="auto"/>
                <w:left w:val="none" w:sz="0" w:space="0" w:color="auto"/>
                <w:bottom w:val="none" w:sz="0" w:space="0" w:color="auto"/>
                <w:right w:val="none" w:sz="0" w:space="0" w:color="auto"/>
              </w:divBdr>
            </w:div>
          </w:divsChild>
        </w:div>
        <w:div w:id="1553419325">
          <w:marLeft w:val="0"/>
          <w:marRight w:val="0"/>
          <w:marTop w:val="0"/>
          <w:marBottom w:val="0"/>
          <w:divBdr>
            <w:top w:val="none" w:sz="0" w:space="0" w:color="auto"/>
            <w:left w:val="none" w:sz="0" w:space="0" w:color="auto"/>
            <w:bottom w:val="none" w:sz="0" w:space="0" w:color="auto"/>
            <w:right w:val="none" w:sz="0" w:space="0" w:color="auto"/>
          </w:divBdr>
          <w:divsChild>
            <w:div w:id="223032876">
              <w:marLeft w:val="0"/>
              <w:marRight w:val="0"/>
              <w:marTop w:val="0"/>
              <w:marBottom w:val="0"/>
              <w:divBdr>
                <w:top w:val="none" w:sz="0" w:space="0" w:color="auto"/>
                <w:left w:val="none" w:sz="0" w:space="0" w:color="auto"/>
                <w:bottom w:val="none" w:sz="0" w:space="0" w:color="auto"/>
                <w:right w:val="none" w:sz="0" w:space="0" w:color="auto"/>
              </w:divBdr>
            </w:div>
          </w:divsChild>
        </w:div>
        <w:div w:id="1851332512">
          <w:marLeft w:val="0"/>
          <w:marRight w:val="0"/>
          <w:marTop w:val="0"/>
          <w:marBottom w:val="0"/>
          <w:divBdr>
            <w:top w:val="none" w:sz="0" w:space="0" w:color="auto"/>
            <w:left w:val="none" w:sz="0" w:space="0" w:color="auto"/>
            <w:bottom w:val="none" w:sz="0" w:space="0" w:color="auto"/>
            <w:right w:val="none" w:sz="0" w:space="0" w:color="auto"/>
          </w:divBdr>
          <w:divsChild>
            <w:div w:id="115293158">
              <w:marLeft w:val="0"/>
              <w:marRight w:val="0"/>
              <w:marTop w:val="0"/>
              <w:marBottom w:val="0"/>
              <w:divBdr>
                <w:top w:val="none" w:sz="0" w:space="0" w:color="auto"/>
                <w:left w:val="none" w:sz="0" w:space="0" w:color="auto"/>
                <w:bottom w:val="none" w:sz="0" w:space="0" w:color="auto"/>
                <w:right w:val="none" w:sz="0" w:space="0" w:color="auto"/>
              </w:divBdr>
            </w:div>
          </w:divsChild>
        </w:div>
        <w:div w:id="1905025478">
          <w:marLeft w:val="0"/>
          <w:marRight w:val="0"/>
          <w:marTop w:val="0"/>
          <w:marBottom w:val="0"/>
          <w:divBdr>
            <w:top w:val="none" w:sz="0" w:space="0" w:color="auto"/>
            <w:left w:val="none" w:sz="0" w:space="0" w:color="auto"/>
            <w:bottom w:val="none" w:sz="0" w:space="0" w:color="auto"/>
            <w:right w:val="none" w:sz="0" w:space="0" w:color="auto"/>
          </w:divBdr>
          <w:divsChild>
            <w:div w:id="1761294897">
              <w:marLeft w:val="0"/>
              <w:marRight w:val="0"/>
              <w:marTop w:val="0"/>
              <w:marBottom w:val="0"/>
              <w:divBdr>
                <w:top w:val="none" w:sz="0" w:space="0" w:color="auto"/>
                <w:left w:val="none" w:sz="0" w:space="0" w:color="auto"/>
                <w:bottom w:val="none" w:sz="0" w:space="0" w:color="auto"/>
                <w:right w:val="none" w:sz="0" w:space="0" w:color="auto"/>
              </w:divBdr>
            </w:div>
          </w:divsChild>
        </w:div>
        <w:div w:id="2016110527">
          <w:marLeft w:val="0"/>
          <w:marRight w:val="0"/>
          <w:marTop w:val="0"/>
          <w:marBottom w:val="0"/>
          <w:divBdr>
            <w:top w:val="none" w:sz="0" w:space="0" w:color="auto"/>
            <w:left w:val="none" w:sz="0" w:space="0" w:color="auto"/>
            <w:bottom w:val="none" w:sz="0" w:space="0" w:color="auto"/>
            <w:right w:val="none" w:sz="0" w:space="0" w:color="auto"/>
          </w:divBdr>
          <w:divsChild>
            <w:div w:id="212274063">
              <w:marLeft w:val="0"/>
              <w:marRight w:val="0"/>
              <w:marTop w:val="0"/>
              <w:marBottom w:val="0"/>
              <w:divBdr>
                <w:top w:val="none" w:sz="0" w:space="0" w:color="auto"/>
                <w:left w:val="none" w:sz="0" w:space="0" w:color="auto"/>
                <w:bottom w:val="none" w:sz="0" w:space="0" w:color="auto"/>
                <w:right w:val="none" w:sz="0" w:space="0" w:color="auto"/>
              </w:divBdr>
            </w:div>
          </w:divsChild>
        </w:div>
        <w:div w:id="2072540533">
          <w:marLeft w:val="0"/>
          <w:marRight w:val="0"/>
          <w:marTop w:val="0"/>
          <w:marBottom w:val="0"/>
          <w:divBdr>
            <w:top w:val="none" w:sz="0" w:space="0" w:color="auto"/>
            <w:left w:val="none" w:sz="0" w:space="0" w:color="auto"/>
            <w:bottom w:val="none" w:sz="0" w:space="0" w:color="auto"/>
            <w:right w:val="none" w:sz="0" w:space="0" w:color="auto"/>
          </w:divBdr>
          <w:divsChild>
            <w:div w:id="467942134">
              <w:marLeft w:val="0"/>
              <w:marRight w:val="0"/>
              <w:marTop w:val="0"/>
              <w:marBottom w:val="0"/>
              <w:divBdr>
                <w:top w:val="none" w:sz="0" w:space="0" w:color="auto"/>
                <w:left w:val="none" w:sz="0" w:space="0" w:color="auto"/>
                <w:bottom w:val="none" w:sz="0" w:space="0" w:color="auto"/>
                <w:right w:val="none" w:sz="0" w:space="0" w:color="auto"/>
              </w:divBdr>
              <w:divsChild>
                <w:div w:id="708645123">
                  <w:marLeft w:val="0"/>
                  <w:marRight w:val="0"/>
                  <w:marTop w:val="0"/>
                  <w:marBottom w:val="0"/>
                  <w:divBdr>
                    <w:top w:val="none" w:sz="0" w:space="0" w:color="auto"/>
                    <w:left w:val="none" w:sz="0" w:space="0" w:color="auto"/>
                    <w:bottom w:val="none" w:sz="0" w:space="0" w:color="auto"/>
                    <w:right w:val="none" w:sz="0" w:space="0" w:color="auto"/>
                  </w:divBdr>
                </w:div>
                <w:div w:id="158977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64275">
      <w:bodyDiv w:val="1"/>
      <w:marLeft w:val="0"/>
      <w:marRight w:val="0"/>
      <w:marTop w:val="0"/>
      <w:marBottom w:val="0"/>
      <w:divBdr>
        <w:top w:val="none" w:sz="0" w:space="0" w:color="auto"/>
        <w:left w:val="none" w:sz="0" w:space="0" w:color="auto"/>
        <w:bottom w:val="none" w:sz="0" w:space="0" w:color="auto"/>
        <w:right w:val="none" w:sz="0" w:space="0" w:color="auto"/>
      </w:divBdr>
      <w:divsChild>
        <w:div w:id="538931349">
          <w:marLeft w:val="0"/>
          <w:marRight w:val="0"/>
          <w:marTop w:val="0"/>
          <w:marBottom w:val="0"/>
          <w:divBdr>
            <w:top w:val="none" w:sz="0" w:space="0" w:color="auto"/>
            <w:left w:val="none" w:sz="0" w:space="0" w:color="auto"/>
            <w:bottom w:val="none" w:sz="0" w:space="0" w:color="auto"/>
            <w:right w:val="none" w:sz="0" w:space="0" w:color="auto"/>
          </w:divBdr>
          <w:divsChild>
            <w:div w:id="1342974109">
              <w:marLeft w:val="0"/>
              <w:marRight w:val="0"/>
              <w:marTop w:val="0"/>
              <w:marBottom w:val="0"/>
              <w:divBdr>
                <w:top w:val="none" w:sz="0" w:space="0" w:color="auto"/>
                <w:left w:val="none" w:sz="0" w:space="0" w:color="auto"/>
                <w:bottom w:val="none" w:sz="0" w:space="0" w:color="auto"/>
                <w:right w:val="none" w:sz="0" w:space="0" w:color="auto"/>
              </w:divBdr>
              <w:divsChild>
                <w:div w:id="12844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31892">
          <w:marLeft w:val="0"/>
          <w:marRight w:val="0"/>
          <w:marTop w:val="0"/>
          <w:marBottom w:val="0"/>
          <w:divBdr>
            <w:top w:val="none" w:sz="0" w:space="0" w:color="auto"/>
            <w:left w:val="none" w:sz="0" w:space="0" w:color="auto"/>
            <w:bottom w:val="none" w:sz="0" w:space="0" w:color="auto"/>
            <w:right w:val="none" w:sz="0" w:space="0" w:color="auto"/>
          </w:divBdr>
          <w:divsChild>
            <w:div w:id="1697776228">
              <w:marLeft w:val="0"/>
              <w:marRight w:val="0"/>
              <w:marTop w:val="0"/>
              <w:marBottom w:val="0"/>
              <w:divBdr>
                <w:top w:val="none" w:sz="0" w:space="0" w:color="auto"/>
                <w:left w:val="none" w:sz="0" w:space="0" w:color="auto"/>
                <w:bottom w:val="none" w:sz="0" w:space="0" w:color="auto"/>
                <w:right w:val="none" w:sz="0" w:space="0" w:color="auto"/>
              </w:divBdr>
              <w:divsChild>
                <w:div w:id="85769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155949">
      <w:bodyDiv w:val="1"/>
      <w:marLeft w:val="0"/>
      <w:marRight w:val="0"/>
      <w:marTop w:val="0"/>
      <w:marBottom w:val="0"/>
      <w:divBdr>
        <w:top w:val="none" w:sz="0" w:space="0" w:color="auto"/>
        <w:left w:val="none" w:sz="0" w:space="0" w:color="auto"/>
        <w:bottom w:val="none" w:sz="0" w:space="0" w:color="auto"/>
        <w:right w:val="none" w:sz="0" w:space="0" w:color="auto"/>
      </w:divBdr>
    </w:div>
    <w:div w:id="317536793">
      <w:bodyDiv w:val="1"/>
      <w:marLeft w:val="0"/>
      <w:marRight w:val="0"/>
      <w:marTop w:val="0"/>
      <w:marBottom w:val="0"/>
      <w:divBdr>
        <w:top w:val="none" w:sz="0" w:space="0" w:color="auto"/>
        <w:left w:val="none" w:sz="0" w:space="0" w:color="auto"/>
        <w:bottom w:val="none" w:sz="0" w:space="0" w:color="auto"/>
        <w:right w:val="none" w:sz="0" w:space="0" w:color="auto"/>
      </w:divBdr>
    </w:div>
    <w:div w:id="405878545">
      <w:bodyDiv w:val="1"/>
      <w:marLeft w:val="0"/>
      <w:marRight w:val="0"/>
      <w:marTop w:val="0"/>
      <w:marBottom w:val="0"/>
      <w:divBdr>
        <w:top w:val="none" w:sz="0" w:space="0" w:color="auto"/>
        <w:left w:val="none" w:sz="0" w:space="0" w:color="auto"/>
        <w:bottom w:val="none" w:sz="0" w:space="0" w:color="auto"/>
        <w:right w:val="none" w:sz="0" w:space="0" w:color="auto"/>
      </w:divBdr>
      <w:divsChild>
        <w:div w:id="785580059">
          <w:marLeft w:val="0"/>
          <w:marRight w:val="0"/>
          <w:marTop w:val="0"/>
          <w:marBottom w:val="0"/>
          <w:divBdr>
            <w:top w:val="none" w:sz="0" w:space="0" w:color="auto"/>
            <w:left w:val="none" w:sz="0" w:space="0" w:color="auto"/>
            <w:bottom w:val="none" w:sz="0" w:space="0" w:color="auto"/>
            <w:right w:val="none" w:sz="0" w:space="0" w:color="auto"/>
          </w:divBdr>
          <w:divsChild>
            <w:div w:id="288511188">
              <w:marLeft w:val="0"/>
              <w:marRight w:val="0"/>
              <w:marTop w:val="0"/>
              <w:marBottom w:val="0"/>
              <w:divBdr>
                <w:top w:val="none" w:sz="0" w:space="0" w:color="auto"/>
                <w:left w:val="none" w:sz="0" w:space="0" w:color="auto"/>
                <w:bottom w:val="none" w:sz="0" w:space="0" w:color="auto"/>
                <w:right w:val="none" w:sz="0" w:space="0" w:color="auto"/>
              </w:divBdr>
              <w:divsChild>
                <w:div w:id="2144806755">
                  <w:marLeft w:val="0"/>
                  <w:marRight w:val="0"/>
                  <w:marTop w:val="0"/>
                  <w:marBottom w:val="0"/>
                  <w:divBdr>
                    <w:top w:val="none" w:sz="0" w:space="0" w:color="auto"/>
                    <w:left w:val="none" w:sz="0" w:space="0" w:color="auto"/>
                    <w:bottom w:val="none" w:sz="0" w:space="0" w:color="auto"/>
                    <w:right w:val="none" w:sz="0" w:space="0" w:color="auto"/>
                  </w:divBdr>
                  <w:divsChild>
                    <w:div w:id="1045984211">
                      <w:marLeft w:val="0"/>
                      <w:marRight w:val="0"/>
                      <w:marTop w:val="0"/>
                      <w:marBottom w:val="0"/>
                      <w:divBdr>
                        <w:top w:val="none" w:sz="0" w:space="0" w:color="auto"/>
                        <w:left w:val="none" w:sz="0" w:space="0" w:color="auto"/>
                        <w:bottom w:val="none" w:sz="0" w:space="0" w:color="auto"/>
                        <w:right w:val="none" w:sz="0" w:space="0" w:color="auto"/>
                      </w:divBdr>
                      <w:divsChild>
                        <w:div w:id="1177767300">
                          <w:marLeft w:val="0"/>
                          <w:marRight w:val="0"/>
                          <w:marTop w:val="0"/>
                          <w:marBottom w:val="0"/>
                          <w:divBdr>
                            <w:top w:val="none" w:sz="0" w:space="0" w:color="auto"/>
                            <w:left w:val="none" w:sz="0" w:space="0" w:color="auto"/>
                            <w:bottom w:val="none" w:sz="0" w:space="0" w:color="auto"/>
                            <w:right w:val="none" w:sz="0" w:space="0" w:color="auto"/>
                          </w:divBdr>
                        </w:div>
                        <w:div w:id="16232273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0837221">
              <w:marLeft w:val="0"/>
              <w:marRight w:val="0"/>
              <w:marTop w:val="0"/>
              <w:marBottom w:val="0"/>
              <w:divBdr>
                <w:top w:val="none" w:sz="0" w:space="0" w:color="auto"/>
                <w:left w:val="none" w:sz="0" w:space="0" w:color="auto"/>
                <w:bottom w:val="none" w:sz="0" w:space="0" w:color="auto"/>
                <w:right w:val="none" w:sz="0" w:space="0" w:color="auto"/>
              </w:divBdr>
              <w:divsChild>
                <w:div w:id="1170022805">
                  <w:marLeft w:val="0"/>
                  <w:marRight w:val="0"/>
                  <w:marTop w:val="0"/>
                  <w:marBottom w:val="0"/>
                  <w:divBdr>
                    <w:top w:val="none" w:sz="0" w:space="0" w:color="auto"/>
                    <w:left w:val="none" w:sz="0" w:space="0" w:color="auto"/>
                    <w:bottom w:val="none" w:sz="0" w:space="0" w:color="auto"/>
                    <w:right w:val="none" w:sz="0" w:space="0" w:color="auto"/>
                  </w:divBdr>
                  <w:divsChild>
                    <w:div w:id="372583489">
                      <w:marLeft w:val="0"/>
                      <w:marRight w:val="0"/>
                      <w:marTop w:val="0"/>
                      <w:marBottom w:val="0"/>
                      <w:divBdr>
                        <w:top w:val="none" w:sz="0" w:space="0" w:color="auto"/>
                        <w:left w:val="none" w:sz="0" w:space="0" w:color="auto"/>
                        <w:bottom w:val="none" w:sz="0" w:space="0" w:color="auto"/>
                        <w:right w:val="none" w:sz="0" w:space="0" w:color="auto"/>
                      </w:divBdr>
                      <w:divsChild>
                        <w:div w:id="968706007">
                          <w:marLeft w:val="0"/>
                          <w:marRight w:val="0"/>
                          <w:marTop w:val="150"/>
                          <w:marBottom w:val="150"/>
                          <w:divBdr>
                            <w:top w:val="none" w:sz="0" w:space="0" w:color="auto"/>
                            <w:left w:val="none" w:sz="0" w:space="0" w:color="auto"/>
                            <w:bottom w:val="none" w:sz="0" w:space="0" w:color="auto"/>
                            <w:right w:val="none" w:sz="0" w:space="0" w:color="auto"/>
                          </w:divBdr>
                        </w:div>
                        <w:div w:id="197640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57982">
          <w:marLeft w:val="0"/>
          <w:marRight w:val="0"/>
          <w:marTop w:val="0"/>
          <w:marBottom w:val="0"/>
          <w:divBdr>
            <w:top w:val="none" w:sz="0" w:space="0" w:color="auto"/>
            <w:left w:val="none" w:sz="0" w:space="0" w:color="auto"/>
            <w:bottom w:val="none" w:sz="0" w:space="0" w:color="auto"/>
            <w:right w:val="none" w:sz="0" w:space="0" w:color="auto"/>
          </w:divBdr>
          <w:divsChild>
            <w:div w:id="749424306">
              <w:marLeft w:val="0"/>
              <w:marRight w:val="0"/>
              <w:marTop w:val="0"/>
              <w:marBottom w:val="0"/>
              <w:divBdr>
                <w:top w:val="none" w:sz="0" w:space="0" w:color="auto"/>
                <w:left w:val="none" w:sz="0" w:space="0" w:color="auto"/>
                <w:bottom w:val="none" w:sz="0" w:space="0" w:color="auto"/>
                <w:right w:val="none" w:sz="0" w:space="0" w:color="auto"/>
              </w:divBdr>
              <w:divsChild>
                <w:div w:id="1571502092">
                  <w:marLeft w:val="-900"/>
                  <w:marRight w:val="0"/>
                  <w:marTop w:val="0"/>
                  <w:marBottom w:val="0"/>
                  <w:divBdr>
                    <w:top w:val="none" w:sz="0" w:space="0" w:color="auto"/>
                    <w:left w:val="none" w:sz="0" w:space="0" w:color="auto"/>
                    <w:bottom w:val="none" w:sz="0" w:space="0" w:color="auto"/>
                    <w:right w:val="none" w:sz="0" w:space="0" w:color="auto"/>
                  </w:divBdr>
                  <w:divsChild>
                    <w:div w:id="1297374784">
                      <w:marLeft w:val="0"/>
                      <w:marRight w:val="0"/>
                      <w:marTop w:val="0"/>
                      <w:marBottom w:val="0"/>
                      <w:divBdr>
                        <w:top w:val="none" w:sz="0" w:space="0" w:color="auto"/>
                        <w:left w:val="none" w:sz="0" w:space="0" w:color="auto"/>
                        <w:bottom w:val="none" w:sz="0" w:space="0" w:color="auto"/>
                        <w:right w:val="none" w:sz="0" w:space="0" w:color="auto"/>
                      </w:divBdr>
                      <w:divsChild>
                        <w:div w:id="604268039">
                          <w:marLeft w:val="0"/>
                          <w:marRight w:val="0"/>
                          <w:marTop w:val="0"/>
                          <w:marBottom w:val="0"/>
                          <w:divBdr>
                            <w:top w:val="none" w:sz="0" w:space="0" w:color="auto"/>
                            <w:left w:val="none" w:sz="0" w:space="0" w:color="auto"/>
                            <w:bottom w:val="none" w:sz="0" w:space="0" w:color="auto"/>
                            <w:right w:val="none" w:sz="0" w:space="0" w:color="auto"/>
                          </w:divBdr>
                          <w:divsChild>
                            <w:div w:id="1415932339">
                              <w:marLeft w:val="0"/>
                              <w:marRight w:val="0"/>
                              <w:marTop w:val="0"/>
                              <w:marBottom w:val="0"/>
                              <w:divBdr>
                                <w:top w:val="none" w:sz="0" w:space="0" w:color="auto"/>
                                <w:left w:val="none" w:sz="0" w:space="0" w:color="auto"/>
                                <w:bottom w:val="none" w:sz="0" w:space="0" w:color="auto"/>
                                <w:right w:val="none" w:sz="0" w:space="0" w:color="auto"/>
                              </w:divBdr>
                              <w:divsChild>
                                <w:div w:id="2073505791">
                                  <w:marLeft w:val="0"/>
                                  <w:marRight w:val="0"/>
                                  <w:marTop w:val="0"/>
                                  <w:marBottom w:val="0"/>
                                  <w:divBdr>
                                    <w:top w:val="none" w:sz="0" w:space="0" w:color="auto"/>
                                    <w:left w:val="none" w:sz="0" w:space="0" w:color="auto"/>
                                    <w:bottom w:val="none" w:sz="0" w:space="0" w:color="auto"/>
                                    <w:right w:val="none" w:sz="0" w:space="0" w:color="auto"/>
                                  </w:divBdr>
                                  <w:divsChild>
                                    <w:div w:id="1671441781">
                                      <w:marLeft w:val="0"/>
                                      <w:marRight w:val="0"/>
                                      <w:marTop w:val="0"/>
                                      <w:marBottom w:val="0"/>
                                      <w:divBdr>
                                        <w:top w:val="none" w:sz="0" w:space="0" w:color="auto"/>
                                        <w:left w:val="none" w:sz="0" w:space="0" w:color="auto"/>
                                        <w:bottom w:val="none" w:sz="0" w:space="0" w:color="auto"/>
                                        <w:right w:val="none" w:sz="0" w:space="0" w:color="auto"/>
                                      </w:divBdr>
                                      <w:divsChild>
                                        <w:div w:id="18896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36967">
                              <w:marLeft w:val="0"/>
                              <w:marRight w:val="0"/>
                              <w:marTop w:val="0"/>
                              <w:marBottom w:val="0"/>
                              <w:divBdr>
                                <w:top w:val="none" w:sz="0" w:space="0" w:color="auto"/>
                                <w:left w:val="none" w:sz="0" w:space="0" w:color="auto"/>
                                <w:bottom w:val="none" w:sz="0" w:space="0" w:color="auto"/>
                                <w:right w:val="none" w:sz="0" w:space="0" w:color="auto"/>
                              </w:divBdr>
                            </w:div>
                          </w:divsChild>
                        </w:div>
                        <w:div w:id="2020965922">
                          <w:marLeft w:val="0"/>
                          <w:marRight w:val="0"/>
                          <w:marTop w:val="225"/>
                          <w:marBottom w:val="300"/>
                          <w:divBdr>
                            <w:top w:val="none" w:sz="0" w:space="0" w:color="auto"/>
                            <w:left w:val="none" w:sz="0" w:space="0" w:color="auto"/>
                            <w:bottom w:val="none" w:sz="0" w:space="0" w:color="auto"/>
                            <w:right w:val="none" w:sz="0" w:space="0" w:color="auto"/>
                          </w:divBdr>
                          <w:divsChild>
                            <w:div w:id="1313098873">
                              <w:marLeft w:val="0"/>
                              <w:marRight w:val="0"/>
                              <w:marTop w:val="0"/>
                              <w:marBottom w:val="0"/>
                              <w:divBdr>
                                <w:top w:val="none" w:sz="0" w:space="0" w:color="auto"/>
                                <w:left w:val="none" w:sz="0" w:space="0" w:color="auto"/>
                                <w:bottom w:val="none" w:sz="0" w:space="0" w:color="auto"/>
                                <w:right w:val="none" w:sz="0" w:space="0" w:color="auto"/>
                              </w:divBdr>
                              <w:divsChild>
                                <w:div w:id="1218518717">
                                  <w:marLeft w:val="0"/>
                                  <w:marRight w:val="300"/>
                                  <w:marTop w:val="0"/>
                                  <w:marBottom w:val="0"/>
                                  <w:divBdr>
                                    <w:top w:val="none" w:sz="0" w:space="0" w:color="auto"/>
                                    <w:left w:val="none" w:sz="0" w:space="0" w:color="auto"/>
                                    <w:bottom w:val="none" w:sz="0" w:space="0" w:color="auto"/>
                                    <w:right w:val="none" w:sz="0" w:space="0" w:color="auto"/>
                                  </w:divBdr>
                                  <w:divsChild>
                                    <w:div w:id="20959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836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9537">
              <w:marLeft w:val="0"/>
              <w:marRight w:val="0"/>
              <w:marTop w:val="0"/>
              <w:marBottom w:val="0"/>
              <w:divBdr>
                <w:top w:val="none" w:sz="0" w:space="0" w:color="auto"/>
                <w:left w:val="none" w:sz="0" w:space="0" w:color="auto"/>
                <w:bottom w:val="none" w:sz="0" w:space="0" w:color="auto"/>
                <w:right w:val="none" w:sz="0" w:space="0" w:color="auto"/>
              </w:divBdr>
              <w:divsChild>
                <w:div w:id="1748842052">
                  <w:marLeft w:val="0"/>
                  <w:marRight w:val="0"/>
                  <w:marTop w:val="0"/>
                  <w:marBottom w:val="0"/>
                  <w:divBdr>
                    <w:top w:val="none" w:sz="0" w:space="0" w:color="auto"/>
                    <w:left w:val="none" w:sz="0" w:space="0" w:color="auto"/>
                    <w:bottom w:val="none" w:sz="0" w:space="0" w:color="auto"/>
                    <w:right w:val="none" w:sz="0" w:space="0" w:color="auto"/>
                  </w:divBdr>
                  <w:divsChild>
                    <w:div w:id="1644501543">
                      <w:marLeft w:val="0"/>
                      <w:marRight w:val="0"/>
                      <w:marTop w:val="0"/>
                      <w:marBottom w:val="0"/>
                      <w:divBdr>
                        <w:top w:val="none" w:sz="0" w:space="0" w:color="auto"/>
                        <w:left w:val="none" w:sz="0" w:space="0" w:color="auto"/>
                        <w:bottom w:val="none" w:sz="0" w:space="0" w:color="auto"/>
                        <w:right w:val="none" w:sz="0" w:space="0" w:color="auto"/>
                      </w:divBdr>
                      <w:divsChild>
                        <w:div w:id="743070105">
                          <w:marLeft w:val="0"/>
                          <w:marRight w:val="0"/>
                          <w:marTop w:val="0"/>
                          <w:marBottom w:val="0"/>
                          <w:divBdr>
                            <w:top w:val="none" w:sz="0" w:space="0" w:color="auto"/>
                            <w:left w:val="none" w:sz="0" w:space="0" w:color="auto"/>
                            <w:bottom w:val="none" w:sz="0" w:space="0" w:color="auto"/>
                            <w:right w:val="none" w:sz="0" w:space="0" w:color="auto"/>
                          </w:divBdr>
                        </w:div>
                        <w:div w:id="17059030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7963847">
              <w:marLeft w:val="0"/>
              <w:marRight w:val="0"/>
              <w:marTop w:val="0"/>
              <w:marBottom w:val="0"/>
              <w:divBdr>
                <w:top w:val="none" w:sz="0" w:space="0" w:color="auto"/>
                <w:left w:val="none" w:sz="0" w:space="0" w:color="auto"/>
                <w:bottom w:val="none" w:sz="0" w:space="0" w:color="auto"/>
                <w:right w:val="none" w:sz="0" w:space="0" w:color="auto"/>
              </w:divBdr>
              <w:divsChild>
                <w:div w:id="430124795">
                  <w:marLeft w:val="0"/>
                  <w:marRight w:val="0"/>
                  <w:marTop w:val="0"/>
                  <w:marBottom w:val="0"/>
                  <w:divBdr>
                    <w:top w:val="none" w:sz="0" w:space="0" w:color="auto"/>
                    <w:left w:val="none" w:sz="0" w:space="0" w:color="auto"/>
                    <w:bottom w:val="none" w:sz="0" w:space="0" w:color="auto"/>
                    <w:right w:val="none" w:sz="0" w:space="0" w:color="auto"/>
                  </w:divBdr>
                  <w:divsChild>
                    <w:div w:id="834566163">
                      <w:marLeft w:val="0"/>
                      <w:marRight w:val="0"/>
                      <w:marTop w:val="0"/>
                      <w:marBottom w:val="0"/>
                      <w:divBdr>
                        <w:top w:val="none" w:sz="0" w:space="0" w:color="auto"/>
                        <w:left w:val="none" w:sz="0" w:space="0" w:color="auto"/>
                        <w:bottom w:val="none" w:sz="0" w:space="0" w:color="auto"/>
                        <w:right w:val="none" w:sz="0" w:space="0" w:color="auto"/>
                      </w:divBdr>
                      <w:divsChild>
                        <w:div w:id="654915859">
                          <w:marLeft w:val="0"/>
                          <w:marRight w:val="0"/>
                          <w:marTop w:val="0"/>
                          <w:marBottom w:val="0"/>
                          <w:divBdr>
                            <w:top w:val="none" w:sz="0" w:space="0" w:color="auto"/>
                            <w:left w:val="none" w:sz="0" w:space="0" w:color="auto"/>
                            <w:bottom w:val="none" w:sz="0" w:space="0" w:color="auto"/>
                            <w:right w:val="none" w:sz="0" w:space="0" w:color="auto"/>
                          </w:divBdr>
                        </w:div>
                        <w:div w:id="8587424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69421943">
          <w:marLeft w:val="0"/>
          <w:marRight w:val="0"/>
          <w:marTop w:val="0"/>
          <w:marBottom w:val="0"/>
          <w:divBdr>
            <w:top w:val="none" w:sz="0" w:space="0" w:color="auto"/>
            <w:left w:val="none" w:sz="0" w:space="0" w:color="auto"/>
            <w:bottom w:val="none" w:sz="0" w:space="0" w:color="auto"/>
            <w:right w:val="none" w:sz="0" w:space="0" w:color="auto"/>
          </w:divBdr>
          <w:divsChild>
            <w:div w:id="933242675">
              <w:marLeft w:val="0"/>
              <w:marRight w:val="0"/>
              <w:marTop w:val="0"/>
              <w:marBottom w:val="0"/>
              <w:divBdr>
                <w:top w:val="none" w:sz="0" w:space="0" w:color="auto"/>
                <w:left w:val="none" w:sz="0" w:space="0" w:color="auto"/>
                <w:bottom w:val="none" w:sz="0" w:space="0" w:color="auto"/>
                <w:right w:val="none" w:sz="0" w:space="0" w:color="auto"/>
              </w:divBdr>
              <w:divsChild>
                <w:div w:id="1181969036">
                  <w:marLeft w:val="0"/>
                  <w:marRight w:val="0"/>
                  <w:marTop w:val="0"/>
                  <w:marBottom w:val="0"/>
                  <w:divBdr>
                    <w:top w:val="none" w:sz="0" w:space="0" w:color="auto"/>
                    <w:left w:val="none" w:sz="0" w:space="0" w:color="auto"/>
                    <w:bottom w:val="none" w:sz="0" w:space="0" w:color="auto"/>
                    <w:right w:val="none" w:sz="0" w:space="0" w:color="auto"/>
                  </w:divBdr>
                  <w:divsChild>
                    <w:div w:id="1312710641">
                      <w:marLeft w:val="0"/>
                      <w:marRight w:val="0"/>
                      <w:marTop w:val="0"/>
                      <w:marBottom w:val="0"/>
                      <w:divBdr>
                        <w:top w:val="none" w:sz="0" w:space="0" w:color="auto"/>
                        <w:left w:val="none" w:sz="0" w:space="0" w:color="auto"/>
                        <w:bottom w:val="none" w:sz="0" w:space="0" w:color="auto"/>
                        <w:right w:val="none" w:sz="0" w:space="0" w:color="auto"/>
                      </w:divBdr>
                      <w:divsChild>
                        <w:div w:id="1639191575">
                          <w:marLeft w:val="0"/>
                          <w:marRight w:val="0"/>
                          <w:marTop w:val="150"/>
                          <w:marBottom w:val="150"/>
                          <w:divBdr>
                            <w:top w:val="none" w:sz="0" w:space="0" w:color="auto"/>
                            <w:left w:val="none" w:sz="0" w:space="0" w:color="auto"/>
                            <w:bottom w:val="none" w:sz="0" w:space="0" w:color="auto"/>
                            <w:right w:val="none" w:sz="0" w:space="0" w:color="auto"/>
                          </w:divBdr>
                        </w:div>
                        <w:div w:id="201202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336564">
              <w:marLeft w:val="0"/>
              <w:marRight w:val="0"/>
              <w:marTop w:val="0"/>
              <w:marBottom w:val="0"/>
              <w:divBdr>
                <w:top w:val="none" w:sz="0" w:space="0" w:color="auto"/>
                <w:left w:val="none" w:sz="0" w:space="0" w:color="auto"/>
                <w:bottom w:val="none" w:sz="0" w:space="0" w:color="auto"/>
                <w:right w:val="none" w:sz="0" w:space="0" w:color="auto"/>
              </w:divBdr>
              <w:divsChild>
                <w:div w:id="1022056099">
                  <w:marLeft w:val="0"/>
                  <w:marRight w:val="0"/>
                  <w:marTop w:val="0"/>
                  <w:marBottom w:val="0"/>
                  <w:divBdr>
                    <w:top w:val="none" w:sz="0" w:space="0" w:color="auto"/>
                    <w:left w:val="none" w:sz="0" w:space="0" w:color="auto"/>
                    <w:bottom w:val="none" w:sz="0" w:space="0" w:color="auto"/>
                    <w:right w:val="none" w:sz="0" w:space="0" w:color="auto"/>
                  </w:divBdr>
                  <w:divsChild>
                    <w:div w:id="2101245204">
                      <w:marLeft w:val="0"/>
                      <w:marRight w:val="0"/>
                      <w:marTop w:val="0"/>
                      <w:marBottom w:val="0"/>
                      <w:divBdr>
                        <w:top w:val="none" w:sz="0" w:space="0" w:color="auto"/>
                        <w:left w:val="none" w:sz="0" w:space="0" w:color="auto"/>
                        <w:bottom w:val="none" w:sz="0" w:space="0" w:color="auto"/>
                        <w:right w:val="none" w:sz="0" w:space="0" w:color="auto"/>
                      </w:divBdr>
                      <w:divsChild>
                        <w:div w:id="569537447">
                          <w:marLeft w:val="0"/>
                          <w:marRight w:val="0"/>
                          <w:marTop w:val="150"/>
                          <w:marBottom w:val="150"/>
                          <w:divBdr>
                            <w:top w:val="none" w:sz="0" w:space="0" w:color="auto"/>
                            <w:left w:val="none" w:sz="0" w:space="0" w:color="auto"/>
                            <w:bottom w:val="none" w:sz="0" w:space="0" w:color="auto"/>
                            <w:right w:val="none" w:sz="0" w:space="0" w:color="auto"/>
                          </w:divBdr>
                        </w:div>
                        <w:div w:id="188805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20205">
              <w:marLeft w:val="0"/>
              <w:marRight w:val="0"/>
              <w:marTop w:val="0"/>
              <w:marBottom w:val="0"/>
              <w:divBdr>
                <w:top w:val="none" w:sz="0" w:space="0" w:color="auto"/>
                <w:left w:val="none" w:sz="0" w:space="0" w:color="auto"/>
                <w:bottom w:val="none" w:sz="0" w:space="0" w:color="auto"/>
                <w:right w:val="none" w:sz="0" w:space="0" w:color="auto"/>
              </w:divBdr>
              <w:divsChild>
                <w:div w:id="1417246157">
                  <w:marLeft w:val="0"/>
                  <w:marRight w:val="0"/>
                  <w:marTop w:val="0"/>
                  <w:marBottom w:val="0"/>
                  <w:divBdr>
                    <w:top w:val="none" w:sz="0" w:space="0" w:color="auto"/>
                    <w:left w:val="none" w:sz="0" w:space="0" w:color="auto"/>
                    <w:bottom w:val="none" w:sz="0" w:space="0" w:color="auto"/>
                    <w:right w:val="none" w:sz="0" w:space="0" w:color="auto"/>
                  </w:divBdr>
                  <w:divsChild>
                    <w:div w:id="855659391">
                      <w:marLeft w:val="0"/>
                      <w:marRight w:val="0"/>
                      <w:marTop w:val="0"/>
                      <w:marBottom w:val="0"/>
                      <w:divBdr>
                        <w:top w:val="none" w:sz="0" w:space="0" w:color="auto"/>
                        <w:left w:val="none" w:sz="0" w:space="0" w:color="auto"/>
                        <w:bottom w:val="none" w:sz="0" w:space="0" w:color="auto"/>
                        <w:right w:val="none" w:sz="0" w:space="0" w:color="auto"/>
                      </w:divBdr>
                      <w:divsChild>
                        <w:div w:id="1393385155">
                          <w:marLeft w:val="0"/>
                          <w:marRight w:val="0"/>
                          <w:marTop w:val="0"/>
                          <w:marBottom w:val="0"/>
                          <w:divBdr>
                            <w:top w:val="none" w:sz="0" w:space="0" w:color="auto"/>
                            <w:left w:val="none" w:sz="0" w:space="0" w:color="auto"/>
                            <w:bottom w:val="none" w:sz="0" w:space="0" w:color="auto"/>
                            <w:right w:val="none" w:sz="0" w:space="0" w:color="auto"/>
                          </w:divBdr>
                        </w:div>
                        <w:div w:id="20760515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1089407">
      <w:bodyDiv w:val="1"/>
      <w:marLeft w:val="0"/>
      <w:marRight w:val="0"/>
      <w:marTop w:val="0"/>
      <w:marBottom w:val="0"/>
      <w:divBdr>
        <w:top w:val="none" w:sz="0" w:space="0" w:color="auto"/>
        <w:left w:val="none" w:sz="0" w:space="0" w:color="auto"/>
        <w:bottom w:val="none" w:sz="0" w:space="0" w:color="auto"/>
        <w:right w:val="none" w:sz="0" w:space="0" w:color="auto"/>
      </w:divBdr>
      <w:divsChild>
        <w:div w:id="479158883">
          <w:marLeft w:val="0"/>
          <w:marRight w:val="0"/>
          <w:marTop w:val="0"/>
          <w:marBottom w:val="0"/>
          <w:divBdr>
            <w:top w:val="none" w:sz="0" w:space="0" w:color="auto"/>
            <w:left w:val="none" w:sz="0" w:space="0" w:color="auto"/>
            <w:bottom w:val="none" w:sz="0" w:space="0" w:color="auto"/>
            <w:right w:val="none" w:sz="0" w:space="0" w:color="auto"/>
          </w:divBdr>
          <w:divsChild>
            <w:div w:id="325474584">
              <w:marLeft w:val="0"/>
              <w:marRight w:val="0"/>
              <w:marTop w:val="0"/>
              <w:marBottom w:val="0"/>
              <w:divBdr>
                <w:top w:val="none" w:sz="0" w:space="0" w:color="auto"/>
                <w:left w:val="none" w:sz="0" w:space="0" w:color="auto"/>
                <w:bottom w:val="none" w:sz="0" w:space="0" w:color="auto"/>
                <w:right w:val="none" w:sz="0" w:space="0" w:color="auto"/>
              </w:divBdr>
              <w:divsChild>
                <w:div w:id="6483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29575">
          <w:marLeft w:val="0"/>
          <w:marRight w:val="0"/>
          <w:marTop w:val="0"/>
          <w:marBottom w:val="0"/>
          <w:divBdr>
            <w:top w:val="none" w:sz="0" w:space="0" w:color="auto"/>
            <w:left w:val="none" w:sz="0" w:space="0" w:color="auto"/>
            <w:bottom w:val="none" w:sz="0" w:space="0" w:color="auto"/>
            <w:right w:val="none" w:sz="0" w:space="0" w:color="auto"/>
          </w:divBdr>
          <w:divsChild>
            <w:div w:id="1414426433">
              <w:marLeft w:val="0"/>
              <w:marRight w:val="0"/>
              <w:marTop w:val="0"/>
              <w:marBottom w:val="0"/>
              <w:divBdr>
                <w:top w:val="none" w:sz="0" w:space="0" w:color="auto"/>
                <w:left w:val="none" w:sz="0" w:space="0" w:color="auto"/>
                <w:bottom w:val="none" w:sz="0" w:space="0" w:color="auto"/>
                <w:right w:val="none" w:sz="0" w:space="0" w:color="auto"/>
              </w:divBdr>
              <w:divsChild>
                <w:div w:id="2932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90848">
      <w:bodyDiv w:val="1"/>
      <w:marLeft w:val="0"/>
      <w:marRight w:val="0"/>
      <w:marTop w:val="0"/>
      <w:marBottom w:val="0"/>
      <w:divBdr>
        <w:top w:val="none" w:sz="0" w:space="0" w:color="auto"/>
        <w:left w:val="none" w:sz="0" w:space="0" w:color="auto"/>
        <w:bottom w:val="none" w:sz="0" w:space="0" w:color="auto"/>
        <w:right w:val="none" w:sz="0" w:space="0" w:color="auto"/>
      </w:divBdr>
      <w:divsChild>
        <w:div w:id="909998670">
          <w:marLeft w:val="0"/>
          <w:marRight w:val="0"/>
          <w:marTop w:val="0"/>
          <w:marBottom w:val="0"/>
          <w:divBdr>
            <w:top w:val="none" w:sz="0" w:space="0" w:color="auto"/>
            <w:left w:val="none" w:sz="0" w:space="0" w:color="auto"/>
            <w:bottom w:val="none" w:sz="0" w:space="0" w:color="auto"/>
            <w:right w:val="none" w:sz="0" w:space="0" w:color="auto"/>
          </w:divBdr>
          <w:divsChild>
            <w:div w:id="622998566">
              <w:marLeft w:val="0"/>
              <w:marRight w:val="0"/>
              <w:marTop w:val="0"/>
              <w:marBottom w:val="0"/>
              <w:divBdr>
                <w:top w:val="none" w:sz="0" w:space="0" w:color="auto"/>
                <w:left w:val="none" w:sz="0" w:space="0" w:color="auto"/>
                <w:bottom w:val="none" w:sz="0" w:space="0" w:color="auto"/>
                <w:right w:val="none" w:sz="0" w:space="0" w:color="auto"/>
              </w:divBdr>
              <w:divsChild>
                <w:div w:id="182427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54398">
          <w:marLeft w:val="0"/>
          <w:marRight w:val="0"/>
          <w:marTop w:val="0"/>
          <w:marBottom w:val="0"/>
          <w:divBdr>
            <w:top w:val="none" w:sz="0" w:space="0" w:color="auto"/>
            <w:left w:val="none" w:sz="0" w:space="0" w:color="auto"/>
            <w:bottom w:val="none" w:sz="0" w:space="0" w:color="auto"/>
            <w:right w:val="none" w:sz="0" w:space="0" w:color="auto"/>
          </w:divBdr>
          <w:divsChild>
            <w:div w:id="1849320507">
              <w:marLeft w:val="0"/>
              <w:marRight w:val="0"/>
              <w:marTop w:val="0"/>
              <w:marBottom w:val="0"/>
              <w:divBdr>
                <w:top w:val="none" w:sz="0" w:space="0" w:color="auto"/>
                <w:left w:val="none" w:sz="0" w:space="0" w:color="auto"/>
                <w:bottom w:val="none" w:sz="0" w:space="0" w:color="auto"/>
                <w:right w:val="none" w:sz="0" w:space="0" w:color="auto"/>
              </w:divBdr>
              <w:divsChild>
                <w:div w:id="10608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066215">
      <w:bodyDiv w:val="1"/>
      <w:marLeft w:val="0"/>
      <w:marRight w:val="0"/>
      <w:marTop w:val="0"/>
      <w:marBottom w:val="0"/>
      <w:divBdr>
        <w:top w:val="none" w:sz="0" w:space="0" w:color="auto"/>
        <w:left w:val="none" w:sz="0" w:space="0" w:color="auto"/>
        <w:bottom w:val="none" w:sz="0" w:space="0" w:color="auto"/>
        <w:right w:val="none" w:sz="0" w:space="0" w:color="auto"/>
      </w:divBdr>
      <w:divsChild>
        <w:div w:id="534729533">
          <w:marLeft w:val="0"/>
          <w:marRight w:val="0"/>
          <w:marTop w:val="0"/>
          <w:marBottom w:val="0"/>
          <w:divBdr>
            <w:top w:val="none" w:sz="0" w:space="0" w:color="auto"/>
            <w:left w:val="none" w:sz="0" w:space="0" w:color="auto"/>
            <w:bottom w:val="none" w:sz="0" w:space="0" w:color="auto"/>
            <w:right w:val="none" w:sz="0" w:space="0" w:color="auto"/>
          </w:divBdr>
          <w:divsChild>
            <w:div w:id="1701856218">
              <w:marLeft w:val="0"/>
              <w:marRight w:val="0"/>
              <w:marTop w:val="0"/>
              <w:marBottom w:val="0"/>
              <w:divBdr>
                <w:top w:val="none" w:sz="0" w:space="0" w:color="auto"/>
                <w:left w:val="none" w:sz="0" w:space="0" w:color="auto"/>
                <w:bottom w:val="none" w:sz="0" w:space="0" w:color="auto"/>
                <w:right w:val="none" w:sz="0" w:space="0" w:color="auto"/>
              </w:divBdr>
              <w:divsChild>
                <w:div w:id="17339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3212">
          <w:marLeft w:val="0"/>
          <w:marRight w:val="0"/>
          <w:marTop w:val="0"/>
          <w:marBottom w:val="0"/>
          <w:divBdr>
            <w:top w:val="none" w:sz="0" w:space="0" w:color="auto"/>
            <w:left w:val="none" w:sz="0" w:space="0" w:color="auto"/>
            <w:bottom w:val="none" w:sz="0" w:space="0" w:color="auto"/>
            <w:right w:val="none" w:sz="0" w:space="0" w:color="auto"/>
          </w:divBdr>
          <w:divsChild>
            <w:div w:id="156311507">
              <w:marLeft w:val="0"/>
              <w:marRight w:val="0"/>
              <w:marTop w:val="0"/>
              <w:marBottom w:val="0"/>
              <w:divBdr>
                <w:top w:val="none" w:sz="0" w:space="0" w:color="auto"/>
                <w:left w:val="none" w:sz="0" w:space="0" w:color="auto"/>
                <w:bottom w:val="none" w:sz="0" w:space="0" w:color="auto"/>
                <w:right w:val="none" w:sz="0" w:space="0" w:color="auto"/>
              </w:divBdr>
              <w:divsChild>
                <w:div w:id="16576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0796">
      <w:bodyDiv w:val="1"/>
      <w:marLeft w:val="0"/>
      <w:marRight w:val="0"/>
      <w:marTop w:val="0"/>
      <w:marBottom w:val="0"/>
      <w:divBdr>
        <w:top w:val="none" w:sz="0" w:space="0" w:color="auto"/>
        <w:left w:val="none" w:sz="0" w:space="0" w:color="auto"/>
        <w:bottom w:val="none" w:sz="0" w:space="0" w:color="auto"/>
        <w:right w:val="none" w:sz="0" w:space="0" w:color="auto"/>
      </w:divBdr>
      <w:divsChild>
        <w:div w:id="409350869">
          <w:marLeft w:val="0"/>
          <w:marRight w:val="0"/>
          <w:marTop w:val="0"/>
          <w:marBottom w:val="0"/>
          <w:divBdr>
            <w:top w:val="none" w:sz="0" w:space="0" w:color="auto"/>
            <w:left w:val="none" w:sz="0" w:space="0" w:color="auto"/>
            <w:bottom w:val="none" w:sz="0" w:space="0" w:color="auto"/>
            <w:right w:val="none" w:sz="0" w:space="0" w:color="auto"/>
          </w:divBdr>
          <w:divsChild>
            <w:div w:id="1813130043">
              <w:marLeft w:val="0"/>
              <w:marRight w:val="0"/>
              <w:marTop w:val="0"/>
              <w:marBottom w:val="0"/>
              <w:divBdr>
                <w:top w:val="none" w:sz="0" w:space="0" w:color="auto"/>
                <w:left w:val="none" w:sz="0" w:space="0" w:color="auto"/>
                <w:bottom w:val="none" w:sz="0" w:space="0" w:color="auto"/>
                <w:right w:val="none" w:sz="0" w:space="0" w:color="auto"/>
              </w:divBdr>
              <w:divsChild>
                <w:div w:id="23797388">
                  <w:marLeft w:val="0"/>
                  <w:marRight w:val="0"/>
                  <w:marTop w:val="0"/>
                  <w:marBottom w:val="0"/>
                  <w:divBdr>
                    <w:top w:val="none" w:sz="0" w:space="0" w:color="auto"/>
                    <w:left w:val="none" w:sz="0" w:space="0" w:color="auto"/>
                    <w:bottom w:val="none" w:sz="0" w:space="0" w:color="auto"/>
                    <w:right w:val="none" w:sz="0" w:space="0" w:color="auto"/>
                  </w:divBdr>
                  <w:divsChild>
                    <w:div w:id="201941336">
                      <w:marLeft w:val="0"/>
                      <w:marRight w:val="0"/>
                      <w:marTop w:val="0"/>
                      <w:marBottom w:val="0"/>
                      <w:divBdr>
                        <w:top w:val="none" w:sz="0" w:space="0" w:color="auto"/>
                        <w:left w:val="none" w:sz="0" w:space="0" w:color="auto"/>
                        <w:bottom w:val="none" w:sz="0" w:space="0" w:color="auto"/>
                        <w:right w:val="none" w:sz="0" w:space="0" w:color="auto"/>
                      </w:divBdr>
                    </w:div>
                    <w:div w:id="374888950">
                      <w:marLeft w:val="0"/>
                      <w:marRight w:val="0"/>
                      <w:marTop w:val="0"/>
                      <w:marBottom w:val="0"/>
                      <w:divBdr>
                        <w:top w:val="none" w:sz="0" w:space="0" w:color="auto"/>
                        <w:left w:val="none" w:sz="0" w:space="0" w:color="auto"/>
                        <w:bottom w:val="none" w:sz="0" w:space="0" w:color="auto"/>
                        <w:right w:val="none" w:sz="0" w:space="0" w:color="auto"/>
                      </w:divBdr>
                    </w:div>
                    <w:div w:id="440540089">
                      <w:marLeft w:val="0"/>
                      <w:marRight w:val="0"/>
                      <w:marTop w:val="0"/>
                      <w:marBottom w:val="0"/>
                      <w:divBdr>
                        <w:top w:val="none" w:sz="0" w:space="0" w:color="auto"/>
                        <w:left w:val="none" w:sz="0" w:space="0" w:color="auto"/>
                        <w:bottom w:val="none" w:sz="0" w:space="0" w:color="auto"/>
                        <w:right w:val="none" w:sz="0" w:space="0" w:color="auto"/>
                      </w:divBdr>
                    </w:div>
                    <w:div w:id="485901790">
                      <w:marLeft w:val="0"/>
                      <w:marRight w:val="0"/>
                      <w:marTop w:val="0"/>
                      <w:marBottom w:val="0"/>
                      <w:divBdr>
                        <w:top w:val="none" w:sz="0" w:space="0" w:color="auto"/>
                        <w:left w:val="none" w:sz="0" w:space="0" w:color="auto"/>
                        <w:bottom w:val="none" w:sz="0" w:space="0" w:color="auto"/>
                        <w:right w:val="none" w:sz="0" w:space="0" w:color="auto"/>
                      </w:divBdr>
                    </w:div>
                    <w:div w:id="496311842">
                      <w:marLeft w:val="0"/>
                      <w:marRight w:val="0"/>
                      <w:marTop w:val="0"/>
                      <w:marBottom w:val="0"/>
                      <w:divBdr>
                        <w:top w:val="none" w:sz="0" w:space="0" w:color="auto"/>
                        <w:left w:val="none" w:sz="0" w:space="0" w:color="auto"/>
                        <w:bottom w:val="none" w:sz="0" w:space="0" w:color="auto"/>
                        <w:right w:val="none" w:sz="0" w:space="0" w:color="auto"/>
                      </w:divBdr>
                    </w:div>
                    <w:div w:id="568148675">
                      <w:marLeft w:val="0"/>
                      <w:marRight w:val="0"/>
                      <w:marTop w:val="0"/>
                      <w:marBottom w:val="0"/>
                      <w:divBdr>
                        <w:top w:val="none" w:sz="0" w:space="0" w:color="auto"/>
                        <w:left w:val="none" w:sz="0" w:space="0" w:color="auto"/>
                        <w:bottom w:val="none" w:sz="0" w:space="0" w:color="auto"/>
                        <w:right w:val="none" w:sz="0" w:space="0" w:color="auto"/>
                      </w:divBdr>
                    </w:div>
                    <w:div w:id="573970213">
                      <w:marLeft w:val="0"/>
                      <w:marRight w:val="0"/>
                      <w:marTop w:val="0"/>
                      <w:marBottom w:val="0"/>
                      <w:divBdr>
                        <w:top w:val="none" w:sz="0" w:space="0" w:color="auto"/>
                        <w:left w:val="none" w:sz="0" w:space="0" w:color="auto"/>
                        <w:bottom w:val="none" w:sz="0" w:space="0" w:color="auto"/>
                        <w:right w:val="none" w:sz="0" w:space="0" w:color="auto"/>
                      </w:divBdr>
                    </w:div>
                    <w:div w:id="646010153">
                      <w:marLeft w:val="0"/>
                      <w:marRight w:val="0"/>
                      <w:marTop w:val="0"/>
                      <w:marBottom w:val="0"/>
                      <w:divBdr>
                        <w:top w:val="none" w:sz="0" w:space="0" w:color="auto"/>
                        <w:left w:val="none" w:sz="0" w:space="0" w:color="auto"/>
                        <w:bottom w:val="none" w:sz="0" w:space="0" w:color="auto"/>
                        <w:right w:val="none" w:sz="0" w:space="0" w:color="auto"/>
                      </w:divBdr>
                    </w:div>
                    <w:div w:id="762341995">
                      <w:marLeft w:val="0"/>
                      <w:marRight w:val="0"/>
                      <w:marTop w:val="0"/>
                      <w:marBottom w:val="0"/>
                      <w:divBdr>
                        <w:top w:val="none" w:sz="0" w:space="0" w:color="auto"/>
                        <w:left w:val="none" w:sz="0" w:space="0" w:color="auto"/>
                        <w:bottom w:val="none" w:sz="0" w:space="0" w:color="auto"/>
                        <w:right w:val="none" w:sz="0" w:space="0" w:color="auto"/>
                      </w:divBdr>
                    </w:div>
                    <w:div w:id="1008486206">
                      <w:marLeft w:val="0"/>
                      <w:marRight w:val="0"/>
                      <w:marTop w:val="0"/>
                      <w:marBottom w:val="0"/>
                      <w:divBdr>
                        <w:top w:val="none" w:sz="0" w:space="0" w:color="auto"/>
                        <w:left w:val="none" w:sz="0" w:space="0" w:color="auto"/>
                        <w:bottom w:val="none" w:sz="0" w:space="0" w:color="auto"/>
                        <w:right w:val="none" w:sz="0" w:space="0" w:color="auto"/>
                      </w:divBdr>
                    </w:div>
                    <w:div w:id="1091001284">
                      <w:marLeft w:val="0"/>
                      <w:marRight w:val="0"/>
                      <w:marTop w:val="0"/>
                      <w:marBottom w:val="0"/>
                      <w:divBdr>
                        <w:top w:val="none" w:sz="0" w:space="0" w:color="auto"/>
                        <w:left w:val="none" w:sz="0" w:space="0" w:color="auto"/>
                        <w:bottom w:val="none" w:sz="0" w:space="0" w:color="auto"/>
                        <w:right w:val="none" w:sz="0" w:space="0" w:color="auto"/>
                      </w:divBdr>
                    </w:div>
                    <w:div w:id="1163356592">
                      <w:marLeft w:val="0"/>
                      <w:marRight w:val="0"/>
                      <w:marTop w:val="0"/>
                      <w:marBottom w:val="0"/>
                      <w:divBdr>
                        <w:top w:val="none" w:sz="0" w:space="0" w:color="auto"/>
                        <w:left w:val="none" w:sz="0" w:space="0" w:color="auto"/>
                        <w:bottom w:val="none" w:sz="0" w:space="0" w:color="auto"/>
                        <w:right w:val="none" w:sz="0" w:space="0" w:color="auto"/>
                      </w:divBdr>
                    </w:div>
                    <w:div w:id="1585333040">
                      <w:marLeft w:val="0"/>
                      <w:marRight w:val="0"/>
                      <w:marTop w:val="0"/>
                      <w:marBottom w:val="0"/>
                      <w:divBdr>
                        <w:top w:val="none" w:sz="0" w:space="0" w:color="auto"/>
                        <w:left w:val="none" w:sz="0" w:space="0" w:color="auto"/>
                        <w:bottom w:val="none" w:sz="0" w:space="0" w:color="auto"/>
                        <w:right w:val="none" w:sz="0" w:space="0" w:color="auto"/>
                      </w:divBdr>
                    </w:div>
                    <w:div w:id="1670061863">
                      <w:marLeft w:val="0"/>
                      <w:marRight w:val="0"/>
                      <w:marTop w:val="0"/>
                      <w:marBottom w:val="0"/>
                      <w:divBdr>
                        <w:top w:val="none" w:sz="0" w:space="0" w:color="auto"/>
                        <w:left w:val="none" w:sz="0" w:space="0" w:color="auto"/>
                        <w:bottom w:val="none" w:sz="0" w:space="0" w:color="auto"/>
                        <w:right w:val="none" w:sz="0" w:space="0" w:color="auto"/>
                      </w:divBdr>
                    </w:div>
                    <w:div w:id="1785541568">
                      <w:marLeft w:val="0"/>
                      <w:marRight w:val="0"/>
                      <w:marTop w:val="0"/>
                      <w:marBottom w:val="0"/>
                      <w:divBdr>
                        <w:top w:val="none" w:sz="0" w:space="0" w:color="auto"/>
                        <w:left w:val="none" w:sz="0" w:space="0" w:color="auto"/>
                        <w:bottom w:val="none" w:sz="0" w:space="0" w:color="auto"/>
                        <w:right w:val="none" w:sz="0" w:space="0" w:color="auto"/>
                      </w:divBdr>
                    </w:div>
                    <w:div w:id="1821994300">
                      <w:marLeft w:val="0"/>
                      <w:marRight w:val="0"/>
                      <w:marTop w:val="0"/>
                      <w:marBottom w:val="0"/>
                      <w:divBdr>
                        <w:top w:val="none" w:sz="0" w:space="0" w:color="auto"/>
                        <w:left w:val="none" w:sz="0" w:space="0" w:color="auto"/>
                        <w:bottom w:val="none" w:sz="0" w:space="0" w:color="auto"/>
                        <w:right w:val="none" w:sz="0" w:space="0" w:color="auto"/>
                      </w:divBdr>
                    </w:div>
                    <w:div w:id="18282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98097">
          <w:marLeft w:val="0"/>
          <w:marRight w:val="0"/>
          <w:marTop w:val="0"/>
          <w:marBottom w:val="0"/>
          <w:divBdr>
            <w:top w:val="none" w:sz="0" w:space="0" w:color="auto"/>
            <w:left w:val="none" w:sz="0" w:space="0" w:color="auto"/>
            <w:bottom w:val="none" w:sz="0" w:space="0" w:color="auto"/>
            <w:right w:val="none" w:sz="0" w:space="0" w:color="auto"/>
          </w:divBdr>
          <w:divsChild>
            <w:div w:id="827208510">
              <w:marLeft w:val="0"/>
              <w:marRight w:val="0"/>
              <w:marTop w:val="0"/>
              <w:marBottom w:val="0"/>
              <w:divBdr>
                <w:top w:val="none" w:sz="0" w:space="0" w:color="auto"/>
                <w:left w:val="none" w:sz="0" w:space="0" w:color="auto"/>
                <w:bottom w:val="none" w:sz="0" w:space="0" w:color="auto"/>
                <w:right w:val="none" w:sz="0" w:space="0" w:color="auto"/>
              </w:divBdr>
              <w:divsChild>
                <w:div w:id="641076483">
                  <w:marLeft w:val="0"/>
                  <w:marRight w:val="0"/>
                  <w:marTop w:val="0"/>
                  <w:marBottom w:val="0"/>
                  <w:divBdr>
                    <w:top w:val="none" w:sz="0" w:space="0" w:color="auto"/>
                    <w:left w:val="none" w:sz="0" w:space="0" w:color="auto"/>
                    <w:bottom w:val="none" w:sz="0" w:space="0" w:color="auto"/>
                    <w:right w:val="none" w:sz="0" w:space="0" w:color="auto"/>
                  </w:divBdr>
                  <w:divsChild>
                    <w:div w:id="747924679">
                      <w:marLeft w:val="0"/>
                      <w:marRight w:val="0"/>
                      <w:marTop w:val="0"/>
                      <w:marBottom w:val="0"/>
                      <w:divBdr>
                        <w:top w:val="none" w:sz="0" w:space="0" w:color="auto"/>
                        <w:left w:val="none" w:sz="0" w:space="0" w:color="auto"/>
                        <w:bottom w:val="none" w:sz="0" w:space="0" w:color="auto"/>
                        <w:right w:val="none" w:sz="0" w:space="0" w:color="auto"/>
                      </w:divBdr>
                    </w:div>
                    <w:div w:id="793405915">
                      <w:marLeft w:val="0"/>
                      <w:marRight w:val="0"/>
                      <w:marTop w:val="0"/>
                      <w:marBottom w:val="0"/>
                      <w:divBdr>
                        <w:top w:val="none" w:sz="0" w:space="0" w:color="auto"/>
                        <w:left w:val="none" w:sz="0" w:space="0" w:color="auto"/>
                        <w:bottom w:val="none" w:sz="0" w:space="0" w:color="auto"/>
                        <w:right w:val="none" w:sz="0" w:space="0" w:color="auto"/>
                      </w:divBdr>
                    </w:div>
                    <w:div w:id="2029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011988">
      <w:bodyDiv w:val="1"/>
      <w:marLeft w:val="0"/>
      <w:marRight w:val="0"/>
      <w:marTop w:val="0"/>
      <w:marBottom w:val="0"/>
      <w:divBdr>
        <w:top w:val="none" w:sz="0" w:space="0" w:color="auto"/>
        <w:left w:val="none" w:sz="0" w:space="0" w:color="auto"/>
        <w:bottom w:val="none" w:sz="0" w:space="0" w:color="auto"/>
        <w:right w:val="none" w:sz="0" w:space="0" w:color="auto"/>
      </w:divBdr>
    </w:div>
    <w:div w:id="1135294745">
      <w:bodyDiv w:val="1"/>
      <w:marLeft w:val="0"/>
      <w:marRight w:val="0"/>
      <w:marTop w:val="0"/>
      <w:marBottom w:val="0"/>
      <w:divBdr>
        <w:top w:val="none" w:sz="0" w:space="0" w:color="auto"/>
        <w:left w:val="none" w:sz="0" w:space="0" w:color="auto"/>
        <w:bottom w:val="none" w:sz="0" w:space="0" w:color="auto"/>
        <w:right w:val="none" w:sz="0" w:space="0" w:color="auto"/>
      </w:divBdr>
    </w:div>
    <w:div w:id="1148979618">
      <w:bodyDiv w:val="1"/>
      <w:marLeft w:val="0"/>
      <w:marRight w:val="0"/>
      <w:marTop w:val="0"/>
      <w:marBottom w:val="0"/>
      <w:divBdr>
        <w:top w:val="none" w:sz="0" w:space="0" w:color="auto"/>
        <w:left w:val="none" w:sz="0" w:space="0" w:color="auto"/>
        <w:bottom w:val="none" w:sz="0" w:space="0" w:color="auto"/>
        <w:right w:val="none" w:sz="0" w:space="0" w:color="auto"/>
      </w:divBdr>
    </w:div>
    <w:div w:id="1277641506">
      <w:bodyDiv w:val="1"/>
      <w:marLeft w:val="0"/>
      <w:marRight w:val="0"/>
      <w:marTop w:val="0"/>
      <w:marBottom w:val="0"/>
      <w:divBdr>
        <w:top w:val="none" w:sz="0" w:space="0" w:color="auto"/>
        <w:left w:val="none" w:sz="0" w:space="0" w:color="auto"/>
        <w:bottom w:val="none" w:sz="0" w:space="0" w:color="auto"/>
        <w:right w:val="none" w:sz="0" w:space="0" w:color="auto"/>
      </w:divBdr>
      <w:divsChild>
        <w:div w:id="1467509232">
          <w:marLeft w:val="0"/>
          <w:marRight w:val="0"/>
          <w:marTop w:val="0"/>
          <w:marBottom w:val="0"/>
          <w:divBdr>
            <w:top w:val="none" w:sz="0" w:space="0" w:color="auto"/>
            <w:left w:val="none" w:sz="0" w:space="0" w:color="auto"/>
            <w:bottom w:val="none" w:sz="0" w:space="0" w:color="auto"/>
            <w:right w:val="none" w:sz="0" w:space="0" w:color="auto"/>
          </w:divBdr>
          <w:divsChild>
            <w:div w:id="580989427">
              <w:marLeft w:val="0"/>
              <w:marRight w:val="0"/>
              <w:marTop w:val="0"/>
              <w:marBottom w:val="0"/>
              <w:divBdr>
                <w:top w:val="none" w:sz="0" w:space="0" w:color="auto"/>
                <w:left w:val="none" w:sz="0" w:space="0" w:color="auto"/>
                <w:bottom w:val="none" w:sz="0" w:space="0" w:color="auto"/>
                <w:right w:val="none" w:sz="0" w:space="0" w:color="auto"/>
              </w:divBdr>
              <w:divsChild>
                <w:div w:id="91863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54704">
          <w:marLeft w:val="0"/>
          <w:marRight w:val="0"/>
          <w:marTop w:val="0"/>
          <w:marBottom w:val="0"/>
          <w:divBdr>
            <w:top w:val="none" w:sz="0" w:space="0" w:color="auto"/>
            <w:left w:val="none" w:sz="0" w:space="0" w:color="auto"/>
            <w:bottom w:val="none" w:sz="0" w:space="0" w:color="auto"/>
            <w:right w:val="none" w:sz="0" w:space="0" w:color="auto"/>
          </w:divBdr>
          <w:divsChild>
            <w:div w:id="1195773128">
              <w:marLeft w:val="0"/>
              <w:marRight w:val="0"/>
              <w:marTop w:val="0"/>
              <w:marBottom w:val="0"/>
              <w:divBdr>
                <w:top w:val="none" w:sz="0" w:space="0" w:color="auto"/>
                <w:left w:val="none" w:sz="0" w:space="0" w:color="auto"/>
                <w:bottom w:val="none" w:sz="0" w:space="0" w:color="auto"/>
                <w:right w:val="none" w:sz="0" w:space="0" w:color="auto"/>
              </w:divBdr>
              <w:divsChild>
                <w:div w:id="11193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5511">
      <w:bodyDiv w:val="1"/>
      <w:marLeft w:val="0"/>
      <w:marRight w:val="0"/>
      <w:marTop w:val="0"/>
      <w:marBottom w:val="0"/>
      <w:divBdr>
        <w:top w:val="none" w:sz="0" w:space="0" w:color="auto"/>
        <w:left w:val="none" w:sz="0" w:space="0" w:color="auto"/>
        <w:bottom w:val="none" w:sz="0" w:space="0" w:color="auto"/>
        <w:right w:val="none" w:sz="0" w:space="0" w:color="auto"/>
      </w:divBdr>
    </w:div>
    <w:div w:id="1330675142">
      <w:bodyDiv w:val="1"/>
      <w:marLeft w:val="0"/>
      <w:marRight w:val="0"/>
      <w:marTop w:val="0"/>
      <w:marBottom w:val="0"/>
      <w:divBdr>
        <w:top w:val="none" w:sz="0" w:space="0" w:color="auto"/>
        <w:left w:val="none" w:sz="0" w:space="0" w:color="auto"/>
        <w:bottom w:val="none" w:sz="0" w:space="0" w:color="auto"/>
        <w:right w:val="none" w:sz="0" w:space="0" w:color="auto"/>
      </w:divBdr>
      <w:divsChild>
        <w:div w:id="296952780">
          <w:marLeft w:val="0"/>
          <w:marRight w:val="0"/>
          <w:marTop w:val="0"/>
          <w:marBottom w:val="0"/>
          <w:divBdr>
            <w:top w:val="none" w:sz="0" w:space="0" w:color="auto"/>
            <w:left w:val="none" w:sz="0" w:space="0" w:color="auto"/>
            <w:bottom w:val="none" w:sz="0" w:space="0" w:color="auto"/>
            <w:right w:val="none" w:sz="0" w:space="0" w:color="auto"/>
          </w:divBdr>
          <w:divsChild>
            <w:div w:id="1746799937">
              <w:marLeft w:val="0"/>
              <w:marRight w:val="0"/>
              <w:marTop w:val="0"/>
              <w:marBottom w:val="0"/>
              <w:divBdr>
                <w:top w:val="none" w:sz="0" w:space="0" w:color="auto"/>
                <w:left w:val="none" w:sz="0" w:space="0" w:color="auto"/>
                <w:bottom w:val="none" w:sz="0" w:space="0" w:color="auto"/>
                <w:right w:val="none" w:sz="0" w:space="0" w:color="auto"/>
              </w:divBdr>
              <w:divsChild>
                <w:div w:id="9996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8723">
          <w:marLeft w:val="0"/>
          <w:marRight w:val="0"/>
          <w:marTop w:val="0"/>
          <w:marBottom w:val="0"/>
          <w:divBdr>
            <w:top w:val="none" w:sz="0" w:space="0" w:color="auto"/>
            <w:left w:val="none" w:sz="0" w:space="0" w:color="auto"/>
            <w:bottom w:val="none" w:sz="0" w:space="0" w:color="auto"/>
            <w:right w:val="none" w:sz="0" w:space="0" w:color="auto"/>
          </w:divBdr>
          <w:divsChild>
            <w:div w:id="1937513948">
              <w:marLeft w:val="0"/>
              <w:marRight w:val="0"/>
              <w:marTop w:val="0"/>
              <w:marBottom w:val="0"/>
              <w:divBdr>
                <w:top w:val="none" w:sz="0" w:space="0" w:color="auto"/>
                <w:left w:val="none" w:sz="0" w:space="0" w:color="auto"/>
                <w:bottom w:val="none" w:sz="0" w:space="0" w:color="auto"/>
                <w:right w:val="none" w:sz="0" w:space="0" w:color="auto"/>
              </w:divBdr>
              <w:divsChild>
                <w:div w:id="1115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5180">
          <w:marLeft w:val="0"/>
          <w:marRight w:val="0"/>
          <w:marTop w:val="0"/>
          <w:marBottom w:val="0"/>
          <w:divBdr>
            <w:top w:val="none" w:sz="0" w:space="0" w:color="auto"/>
            <w:left w:val="none" w:sz="0" w:space="0" w:color="auto"/>
            <w:bottom w:val="none" w:sz="0" w:space="0" w:color="auto"/>
            <w:right w:val="none" w:sz="0" w:space="0" w:color="auto"/>
          </w:divBdr>
          <w:divsChild>
            <w:div w:id="573206365">
              <w:marLeft w:val="0"/>
              <w:marRight w:val="0"/>
              <w:marTop w:val="0"/>
              <w:marBottom w:val="0"/>
              <w:divBdr>
                <w:top w:val="none" w:sz="0" w:space="0" w:color="auto"/>
                <w:left w:val="none" w:sz="0" w:space="0" w:color="auto"/>
                <w:bottom w:val="none" w:sz="0" w:space="0" w:color="auto"/>
                <w:right w:val="none" w:sz="0" w:space="0" w:color="auto"/>
              </w:divBdr>
              <w:divsChild>
                <w:div w:id="123739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40159">
      <w:bodyDiv w:val="1"/>
      <w:marLeft w:val="0"/>
      <w:marRight w:val="0"/>
      <w:marTop w:val="0"/>
      <w:marBottom w:val="0"/>
      <w:divBdr>
        <w:top w:val="none" w:sz="0" w:space="0" w:color="auto"/>
        <w:left w:val="none" w:sz="0" w:space="0" w:color="auto"/>
        <w:bottom w:val="none" w:sz="0" w:space="0" w:color="auto"/>
        <w:right w:val="none" w:sz="0" w:space="0" w:color="auto"/>
      </w:divBdr>
      <w:divsChild>
        <w:div w:id="291597068">
          <w:marLeft w:val="0"/>
          <w:marRight w:val="0"/>
          <w:marTop w:val="0"/>
          <w:marBottom w:val="0"/>
          <w:divBdr>
            <w:top w:val="single" w:sz="6" w:space="0" w:color="DBDBDB"/>
            <w:left w:val="none" w:sz="0" w:space="0" w:color="auto"/>
            <w:bottom w:val="single" w:sz="6" w:space="0" w:color="DBDBDB"/>
            <w:right w:val="none" w:sz="0" w:space="0" w:color="auto"/>
          </w:divBdr>
          <w:divsChild>
            <w:div w:id="549342931">
              <w:marLeft w:val="0"/>
              <w:marRight w:val="0"/>
              <w:marTop w:val="0"/>
              <w:marBottom w:val="0"/>
              <w:divBdr>
                <w:top w:val="none" w:sz="0" w:space="0" w:color="auto"/>
                <w:left w:val="none" w:sz="0" w:space="0" w:color="auto"/>
                <w:bottom w:val="none" w:sz="0" w:space="0" w:color="auto"/>
                <w:right w:val="none" w:sz="0" w:space="0" w:color="auto"/>
              </w:divBdr>
              <w:divsChild>
                <w:div w:id="924193777">
                  <w:marLeft w:val="0"/>
                  <w:marRight w:val="0"/>
                  <w:marTop w:val="0"/>
                  <w:marBottom w:val="0"/>
                  <w:divBdr>
                    <w:top w:val="none" w:sz="0" w:space="0" w:color="auto"/>
                    <w:left w:val="none" w:sz="0" w:space="0" w:color="auto"/>
                    <w:bottom w:val="none" w:sz="0" w:space="0" w:color="auto"/>
                    <w:right w:val="none" w:sz="0" w:space="0" w:color="auto"/>
                  </w:divBdr>
                </w:div>
                <w:div w:id="1250775551">
                  <w:marLeft w:val="-15"/>
                  <w:marRight w:val="-15"/>
                  <w:marTop w:val="0"/>
                  <w:marBottom w:val="0"/>
                  <w:divBdr>
                    <w:top w:val="none" w:sz="0" w:space="0" w:color="auto"/>
                    <w:left w:val="none" w:sz="0" w:space="0" w:color="auto"/>
                    <w:bottom w:val="none" w:sz="0" w:space="0" w:color="auto"/>
                    <w:right w:val="none" w:sz="0" w:space="0" w:color="auto"/>
                  </w:divBdr>
                </w:div>
                <w:div w:id="1294945244">
                  <w:marLeft w:val="0"/>
                  <w:marRight w:val="0"/>
                  <w:marTop w:val="0"/>
                  <w:marBottom w:val="0"/>
                  <w:divBdr>
                    <w:top w:val="none" w:sz="0" w:space="0" w:color="auto"/>
                    <w:left w:val="none" w:sz="0" w:space="0" w:color="auto"/>
                    <w:bottom w:val="none" w:sz="0" w:space="0" w:color="auto"/>
                    <w:right w:val="none" w:sz="0" w:space="0" w:color="auto"/>
                  </w:divBdr>
                  <w:divsChild>
                    <w:div w:id="33753851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735534">
      <w:bodyDiv w:val="1"/>
      <w:marLeft w:val="0"/>
      <w:marRight w:val="0"/>
      <w:marTop w:val="0"/>
      <w:marBottom w:val="0"/>
      <w:divBdr>
        <w:top w:val="none" w:sz="0" w:space="0" w:color="auto"/>
        <w:left w:val="none" w:sz="0" w:space="0" w:color="auto"/>
        <w:bottom w:val="none" w:sz="0" w:space="0" w:color="auto"/>
        <w:right w:val="none" w:sz="0" w:space="0" w:color="auto"/>
      </w:divBdr>
    </w:div>
    <w:div w:id="1489711520">
      <w:bodyDiv w:val="1"/>
      <w:marLeft w:val="0"/>
      <w:marRight w:val="0"/>
      <w:marTop w:val="0"/>
      <w:marBottom w:val="0"/>
      <w:divBdr>
        <w:top w:val="none" w:sz="0" w:space="0" w:color="auto"/>
        <w:left w:val="none" w:sz="0" w:space="0" w:color="auto"/>
        <w:bottom w:val="none" w:sz="0" w:space="0" w:color="auto"/>
        <w:right w:val="none" w:sz="0" w:space="0" w:color="auto"/>
      </w:divBdr>
    </w:div>
    <w:div w:id="1577664662">
      <w:bodyDiv w:val="1"/>
      <w:marLeft w:val="0"/>
      <w:marRight w:val="0"/>
      <w:marTop w:val="0"/>
      <w:marBottom w:val="0"/>
      <w:divBdr>
        <w:top w:val="none" w:sz="0" w:space="0" w:color="auto"/>
        <w:left w:val="none" w:sz="0" w:space="0" w:color="auto"/>
        <w:bottom w:val="none" w:sz="0" w:space="0" w:color="auto"/>
        <w:right w:val="none" w:sz="0" w:space="0" w:color="auto"/>
      </w:divBdr>
    </w:div>
    <w:div w:id="1688288306">
      <w:bodyDiv w:val="1"/>
      <w:marLeft w:val="0"/>
      <w:marRight w:val="0"/>
      <w:marTop w:val="0"/>
      <w:marBottom w:val="0"/>
      <w:divBdr>
        <w:top w:val="none" w:sz="0" w:space="0" w:color="auto"/>
        <w:left w:val="none" w:sz="0" w:space="0" w:color="auto"/>
        <w:bottom w:val="none" w:sz="0" w:space="0" w:color="auto"/>
        <w:right w:val="none" w:sz="0" w:space="0" w:color="auto"/>
      </w:divBdr>
      <w:divsChild>
        <w:div w:id="50542516">
          <w:marLeft w:val="0"/>
          <w:marRight w:val="0"/>
          <w:marTop w:val="0"/>
          <w:marBottom w:val="0"/>
          <w:divBdr>
            <w:top w:val="none" w:sz="0" w:space="0" w:color="auto"/>
            <w:left w:val="none" w:sz="0" w:space="0" w:color="auto"/>
            <w:bottom w:val="none" w:sz="0" w:space="0" w:color="auto"/>
            <w:right w:val="none" w:sz="0" w:space="0" w:color="auto"/>
          </w:divBdr>
          <w:divsChild>
            <w:div w:id="1245728216">
              <w:marLeft w:val="0"/>
              <w:marRight w:val="0"/>
              <w:marTop w:val="0"/>
              <w:marBottom w:val="0"/>
              <w:divBdr>
                <w:top w:val="none" w:sz="0" w:space="0" w:color="auto"/>
                <w:left w:val="none" w:sz="0" w:space="0" w:color="auto"/>
                <w:bottom w:val="none" w:sz="0" w:space="0" w:color="auto"/>
                <w:right w:val="none" w:sz="0" w:space="0" w:color="auto"/>
              </w:divBdr>
            </w:div>
          </w:divsChild>
        </w:div>
        <w:div w:id="82532374">
          <w:marLeft w:val="0"/>
          <w:marRight w:val="0"/>
          <w:marTop w:val="0"/>
          <w:marBottom w:val="0"/>
          <w:divBdr>
            <w:top w:val="none" w:sz="0" w:space="0" w:color="auto"/>
            <w:left w:val="none" w:sz="0" w:space="0" w:color="auto"/>
            <w:bottom w:val="none" w:sz="0" w:space="0" w:color="auto"/>
            <w:right w:val="none" w:sz="0" w:space="0" w:color="auto"/>
          </w:divBdr>
          <w:divsChild>
            <w:div w:id="68892265">
              <w:marLeft w:val="0"/>
              <w:marRight w:val="0"/>
              <w:marTop w:val="0"/>
              <w:marBottom w:val="0"/>
              <w:divBdr>
                <w:top w:val="none" w:sz="0" w:space="0" w:color="auto"/>
                <w:left w:val="none" w:sz="0" w:space="0" w:color="auto"/>
                <w:bottom w:val="none" w:sz="0" w:space="0" w:color="auto"/>
                <w:right w:val="none" w:sz="0" w:space="0" w:color="auto"/>
              </w:divBdr>
            </w:div>
          </w:divsChild>
        </w:div>
        <w:div w:id="93332499">
          <w:marLeft w:val="0"/>
          <w:marRight w:val="360"/>
          <w:marTop w:val="0"/>
          <w:marBottom w:val="360"/>
          <w:divBdr>
            <w:top w:val="none" w:sz="0" w:space="0" w:color="auto"/>
            <w:left w:val="none" w:sz="0" w:space="0" w:color="auto"/>
            <w:bottom w:val="none" w:sz="0" w:space="0" w:color="auto"/>
            <w:right w:val="none" w:sz="0" w:space="0" w:color="auto"/>
          </w:divBdr>
          <w:divsChild>
            <w:div w:id="1451702556">
              <w:marLeft w:val="0"/>
              <w:marRight w:val="0"/>
              <w:marTop w:val="0"/>
              <w:marBottom w:val="0"/>
              <w:divBdr>
                <w:top w:val="none" w:sz="0" w:space="0" w:color="auto"/>
                <w:left w:val="none" w:sz="0" w:space="0" w:color="auto"/>
                <w:bottom w:val="none" w:sz="0" w:space="0" w:color="auto"/>
                <w:right w:val="none" w:sz="0" w:space="0" w:color="auto"/>
              </w:divBdr>
              <w:divsChild>
                <w:div w:id="1176728830">
                  <w:marLeft w:val="0"/>
                  <w:marRight w:val="0"/>
                  <w:marTop w:val="0"/>
                  <w:marBottom w:val="0"/>
                  <w:divBdr>
                    <w:top w:val="none" w:sz="0" w:space="0" w:color="auto"/>
                    <w:left w:val="none" w:sz="0" w:space="0" w:color="auto"/>
                    <w:bottom w:val="none" w:sz="0" w:space="0" w:color="auto"/>
                    <w:right w:val="none" w:sz="0" w:space="0" w:color="auto"/>
                  </w:divBdr>
                  <w:divsChild>
                    <w:div w:id="1246920518">
                      <w:marLeft w:val="0"/>
                      <w:marRight w:val="0"/>
                      <w:marTop w:val="0"/>
                      <w:marBottom w:val="0"/>
                      <w:divBdr>
                        <w:top w:val="none" w:sz="0" w:space="0" w:color="auto"/>
                        <w:left w:val="none" w:sz="0" w:space="0" w:color="auto"/>
                        <w:bottom w:val="none" w:sz="0" w:space="0" w:color="auto"/>
                        <w:right w:val="none" w:sz="0" w:space="0" w:color="auto"/>
                      </w:divBdr>
                      <w:divsChild>
                        <w:div w:id="519665858">
                          <w:marLeft w:val="0"/>
                          <w:marRight w:val="0"/>
                          <w:marTop w:val="120"/>
                          <w:marBottom w:val="0"/>
                          <w:divBdr>
                            <w:top w:val="none" w:sz="0" w:space="0" w:color="auto"/>
                            <w:left w:val="none" w:sz="0" w:space="0" w:color="auto"/>
                            <w:bottom w:val="none" w:sz="0" w:space="0" w:color="auto"/>
                            <w:right w:val="none" w:sz="0" w:space="0" w:color="auto"/>
                          </w:divBdr>
                          <w:divsChild>
                            <w:div w:id="1401095586">
                              <w:marLeft w:val="0"/>
                              <w:marRight w:val="0"/>
                              <w:marTop w:val="0"/>
                              <w:marBottom w:val="0"/>
                              <w:divBdr>
                                <w:top w:val="none" w:sz="0" w:space="0" w:color="auto"/>
                                <w:left w:val="none" w:sz="0" w:space="0" w:color="auto"/>
                                <w:bottom w:val="none" w:sz="0" w:space="0" w:color="auto"/>
                                <w:right w:val="none" w:sz="0" w:space="0" w:color="auto"/>
                              </w:divBdr>
                              <w:divsChild>
                                <w:div w:id="204979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40081">
                          <w:marLeft w:val="0"/>
                          <w:marRight w:val="0"/>
                          <w:marTop w:val="0"/>
                          <w:marBottom w:val="0"/>
                          <w:divBdr>
                            <w:top w:val="none" w:sz="0" w:space="0" w:color="auto"/>
                            <w:left w:val="none" w:sz="0" w:space="0" w:color="auto"/>
                            <w:bottom w:val="none" w:sz="0" w:space="0" w:color="auto"/>
                            <w:right w:val="none" w:sz="0" w:space="0" w:color="auto"/>
                          </w:divBdr>
                        </w:div>
                      </w:divsChild>
                    </w:div>
                    <w:div w:id="1460608505">
                      <w:marLeft w:val="0"/>
                      <w:marRight w:val="0"/>
                      <w:marTop w:val="0"/>
                      <w:marBottom w:val="240"/>
                      <w:divBdr>
                        <w:top w:val="none" w:sz="0" w:space="0" w:color="auto"/>
                        <w:left w:val="none" w:sz="0" w:space="0" w:color="auto"/>
                        <w:bottom w:val="none" w:sz="0" w:space="0" w:color="auto"/>
                        <w:right w:val="none" w:sz="0" w:space="0" w:color="auto"/>
                      </w:divBdr>
                      <w:divsChild>
                        <w:div w:id="20850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4934">
          <w:marLeft w:val="0"/>
          <w:marRight w:val="0"/>
          <w:marTop w:val="0"/>
          <w:marBottom w:val="0"/>
          <w:divBdr>
            <w:top w:val="none" w:sz="0" w:space="0" w:color="auto"/>
            <w:left w:val="none" w:sz="0" w:space="0" w:color="auto"/>
            <w:bottom w:val="none" w:sz="0" w:space="0" w:color="auto"/>
            <w:right w:val="none" w:sz="0" w:space="0" w:color="auto"/>
          </w:divBdr>
          <w:divsChild>
            <w:div w:id="1280068230">
              <w:marLeft w:val="0"/>
              <w:marRight w:val="0"/>
              <w:marTop w:val="0"/>
              <w:marBottom w:val="0"/>
              <w:divBdr>
                <w:top w:val="none" w:sz="0" w:space="0" w:color="auto"/>
                <w:left w:val="none" w:sz="0" w:space="0" w:color="auto"/>
                <w:bottom w:val="none" w:sz="0" w:space="0" w:color="auto"/>
                <w:right w:val="none" w:sz="0" w:space="0" w:color="auto"/>
              </w:divBdr>
            </w:div>
          </w:divsChild>
        </w:div>
        <w:div w:id="319120070">
          <w:marLeft w:val="0"/>
          <w:marRight w:val="0"/>
          <w:marTop w:val="0"/>
          <w:marBottom w:val="0"/>
          <w:divBdr>
            <w:top w:val="none" w:sz="0" w:space="0" w:color="auto"/>
            <w:left w:val="none" w:sz="0" w:space="0" w:color="auto"/>
            <w:bottom w:val="none" w:sz="0" w:space="0" w:color="auto"/>
            <w:right w:val="none" w:sz="0" w:space="0" w:color="auto"/>
          </w:divBdr>
          <w:divsChild>
            <w:div w:id="284391049">
              <w:marLeft w:val="0"/>
              <w:marRight w:val="0"/>
              <w:marTop w:val="0"/>
              <w:marBottom w:val="0"/>
              <w:divBdr>
                <w:top w:val="none" w:sz="0" w:space="0" w:color="auto"/>
                <w:left w:val="none" w:sz="0" w:space="0" w:color="auto"/>
                <w:bottom w:val="none" w:sz="0" w:space="0" w:color="auto"/>
                <w:right w:val="none" w:sz="0" w:space="0" w:color="auto"/>
              </w:divBdr>
            </w:div>
          </w:divsChild>
        </w:div>
        <w:div w:id="333142781">
          <w:marLeft w:val="0"/>
          <w:marRight w:val="0"/>
          <w:marTop w:val="0"/>
          <w:marBottom w:val="0"/>
          <w:divBdr>
            <w:top w:val="none" w:sz="0" w:space="0" w:color="auto"/>
            <w:left w:val="none" w:sz="0" w:space="0" w:color="auto"/>
            <w:bottom w:val="none" w:sz="0" w:space="0" w:color="auto"/>
            <w:right w:val="none" w:sz="0" w:space="0" w:color="auto"/>
          </w:divBdr>
          <w:divsChild>
            <w:div w:id="663901621">
              <w:marLeft w:val="0"/>
              <w:marRight w:val="0"/>
              <w:marTop w:val="0"/>
              <w:marBottom w:val="0"/>
              <w:divBdr>
                <w:top w:val="none" w:sz="0" w:space="0" w:color="auto"/>
                <w:left w:val="none" w:sz="0" w:space="0" w:color="auto"/>
                <w:bottom w:val="none" w:sz="0" w:space="0" w:color="auto"/>
                <w:right w:val="none" w:sz="0" w:space="0" w:color="auto"/>
              </w:divBdr>
            </w:div>
          </w:divsChild>
        </w:div>
        <w:div w:id="353769777">
          <w:marLeft w:val="0"/>
          <w:marRight w:val="0"/>
          <w:marTop w:val="0"/>
          <w:marBottom w:val="0"/>
          <w:divBdr>
            <w:top w:val="none" w:sz="0" w:space="0" w:color="auto"/>
            <w:left w:val="none" w:sz="0" w:space="0" w:color="auto"/>
            <w:bottom w:val="none" w:sz="0" w:space="0" w:color="auto"/>
            <w:right w:val="none" w:sz="0" w:space="0" w:color="auto"/>
          </w:divBdr>
          <w:divsChild>
            <w:div w:id="127407386">
              <w:marLeft w:val="0"/>
              <w:marRight w:val="0"/>
              <w:marTop w:val="0"/>
              <w:marBottom w:val="0"/>
              <w:divBdr>
                <w:top w:val="none" w:sz="0" w:space="0" w:color="auto"/>
                <w:left w:val="none" w:sz="0" w:space="0" w:color="auto"/>
                <w:bottom w:val="none" w:sz="0" w:space="0" w:color="auto"/>
                <w:right w:val="none" w:sz="0" w:space="0" w:color="auto"/>
              </w:divBdr>
            </w:div>
          </w:divsChild>
        </w:div>
        <w:div w:id="385029702">
          <w:marLeft w:val="0"/>
          <w:marRight w:val="0"/>
          <w:marTop w:val="0"/>
          <w:marBottom w:val="0"/>
          <w:divBdr>
            <w:top w:val="none" w:sz="0" w:space="0" w:color="auto"/>
            <w:left w:val="none" w:sz="0" w:space="0" w:color="auto"/>
            <w:bottom w:val="none" w:sz="0" w:space="0" w:color="auto"/>
            <w:right w:val="none" w:sz="0" w:space="0" w:color="auto"/>
          </w:divBdr>
          <w:divsChild>
            <w:div w:id="1795319882">
              <w:marLeft w:val="0"/>
              <w:marRight w:val="0"/>
              <w:marTop w:val="0"/>
              <w:marBottom w:val="0"/>
              <w:divBdr>
                <w:top w:val="none" w:sz="0" w:space="0" w:color="auto"/>
                <w:left w:val="none" w:sz="0" w:space="0" w:color="auto"/>
                <w:bottom w:val="none" w:sz="0" w:space="0" w:color="auto"/>
                <w:right w:val="none" w:sz="0" w:space="0" w:color="auto"/>
              </w:divBdr>
            </w:div>
          </w:divsChild>
        </w:div>
        <w:div w:id="407315276">
          <w:marLeft w:val="0"/>
          <w:marRight w:val="0"/>
          <w:marTop w:val="0"/>
          <w:marBottom w:val="0"/>
          <w:divBdr>
            <w:top w:val="none" w:sz="0" w:space="0" w:color="auto"/>
            <w:left w:val="none" w:sz="0" w:space="0" w:color="auto"/>
            <w:bottom w:val="none" w:sz="0" w:space="0" w:color="auto"/>
            <w:right w:val="none" w:sz="0" w:space="0" w:color="auto"/>
          </w:divBdr>
          <w:divsChild>
            <w:div w:id="1766606069">
              <w:marLeft w:val="0"/>
              <w:marRight w:val="0"/>
              <w:marTop w:val="0"/>
              <w:marBottom w:val="0"/>
              <w:divBdr>
                <w:top w:val="none" w:sz="0" w:space="0" w:color="auto"/>
                <w:left w:val="none" w:sz="0" w:space="0" w:color="auto"/>
                <w:bottom w:val="none" w:sz="0" w:space="0" w:color="auto"/>
                <w:right w:val="none" w:sz="0" w:space="0" w:color="auto"/>
              </w:divBdr>
            </w:div>
          </w:divsChild>
        </w:div>
        <w:div w:id="662439013">
          <w:marLeft w:val="0"/>
          <w:marRight w:val="0"/>
          <w:marTop w:val="0"/>
          <w:marBottom w:val="0"/>
          <w:divBdr>
            <w:top w:val="none" w:sz="0" w:space="0" w:color="auto"/>
            <w:left w:val="none" w:sz="0" w:space="0" w:color="auto"/>
            <w:bottom w:val="none" w:sz="0" w:space="0" w:color="auto"/>
            <w:right w:val="none" w:sz="0" w:space="0" w:color="auto"/>
          </w:divBdr>
          <w:divsChild>
            <w:div w:id="1041633239">
              <w:marLeft w:val="0"/>
              <w:marRight w:val="0"/>
              <w:marTop w:val="0"/>
              <w:marBottom w:val="0"/>
              <w:divBdr>
                <w:top w:val="none" w:sz="0" w:space="0" w:color="auto"/>
                <w:left w:val="none" w:sz="0" w:space="0" w:color="auto"/>
                <w:bottom w:val="none" w:sz="0" w:space="0" w:color="auto"/>
                <w:right w:val="none" w:sz="0" w:space="0" w:color="auto"/>
              </w:divBdr>
            </w:div>
          </w:divsChild>
        </w:div>
        <w:div w:id="785849130">
          <w:marLeft w:val="0"/>
          <w:marRight w:val="0"/>
          <w:marTop w:val="0"/>
          <w:marBottom w:val="0"/>
          <w:divBdr>
            <w:top w:val="none" w:sz="0" w:space="0" w:color="auto"/>
            <w:left w:val="none" w:sz="0" w:space="0" w:color="auto"/>
            <w:bottom w:val="none" w:sz="0" w:space="0" w:color="auto"/>
            <w:right w:val="none" w:sz="0" w:space="0" w:color="auto"/>
          </w:divBdr>
          <w:divsChild>
            <w:div w:id="581371866">
              <w:marLeft w:val="0"/>
              <w:marRight w:val="0"/>
              <w:marTop w:val="0"/>
              <w:marBottom w:val="0"/>
              <w:divBdr>
                <w:top w:val="none" w:sz="0" w:space="0" w:color="auto"/>
                <w:left w:val="none" w:sz="0" w:space="0" w:color="auto"/>
                <w:bottom w:val="none" w:sz="0" w:space="0" w:color="auto"/>
                <w:right w:val="none" w:sz="0" w:space="0" w:color="auto"/>
              </w:divBdr>
            </w:div>
          </w:divsChild>
        </w:div>
        <w:div w:id="874780664">
          <w:marLeft w:val="0"/>
          <w:marRight w:val="0"/>
          <w:marTop w:val="0"/>
          <w:marBottom w:val="0"/>
          <w:divBdr>
            <w:top w:val="none" w:sz="0" w:space="0" w:color="auto"/>
            <w:left w:val="none" w:sz="0" w:space="0" w:color="auto"/>
            <w:bottom w:val="none" w:sz="0" w:space="0" w:color="auto"/>
            <w:right w:val="none" w:sz="0" w:space="0" w:color="auto"/>
          </w:divBdr>
          <w:divsChild>
            <w:div w:id="179393109">
              <w:marLeft w:val="0"/>
              <w:marRight w:val="0"/>
              <w:marTop w:val="0"/>
              <w:marBottom w:val="0"/>
              <w:divBdr>
                <w:top w:val="none" w:sz="0" w:space="0" w:color="auto"/>
                <w:left w:val="none" w:sz="0" w:space="0" w:color="auto"/>
                <w:bottom w:val="none" w:sz="0" w:space="0" w:color="auto"/>
                <w:right w:val="none" w:sz="0" w:space="0" w:color="auto"/>
              </w:divBdr>
            </w:div>
          </w:divsChild>
        </w:div>
        <w:div w:id="896627814">
          <w:marLeft w:val="0"/>
          <w:marRight w:val="0"/>
          <w:marTop w:val="0"/>
          <w:marBottom w:val="0"/>
          <w:divBdr>
            <w:top w:val="none" w:sz="0" w:space="0" w:color="auto"/>
            <w:left w:val="none" w:sz="0" w:space="0" w:color="auto"/>
            <w:bottom w:val="none" w:sz="0" w:space="0" w:color="auto"/>
            <w:right w:val="none" w:sz="0" w:space="0" w:color="auto"/>
          </w:divBdr>
          <w:divsChild>
            <w:div w:id="417944660">
              <w:marLeft w:val="0"/>
              <w:marRight w:val="0"/>
              <w:marTop w:val="0"/>
              <w:marBottom w:val="0"/>
              <w:divBdr>
                <w:top w:val="none" w:sz="0" w:space="0" w:color="auto"/>
                <w:left w:val="none" w:sz="0" w:space="0" w:color="auto"/>
                <w:bottom w:val="none" w:sz="0" w:space="0" w:color="auto"/>
                <w:right w:val="none" w:sz="0" w:space="0" w:color="auto"/>
              </w:divBdr>
            </w:div>
          </w:divsChild>
        </w:div>
        <w:div w:id="1077048905">
          <w:marLeft w:val="0"/>
          <w:marRight w:val="0"/>
          <w:marTop w:val="0"/>
          <w:marBottom w:val="0"/>
          <w:divBdr>
            <w:top w:val="none" w:sz="0" w:space="0" w:color="auto"/>
            <w:left w:val="none" w:sz="0" w:space="0" w:color="auto"/>
            <w:bottom w:val="none" w:sz="0" w:space="0" w:color="auto"/>
            <w:right w:val="none" w:sz="0" w:space="0" w:color="auto"/>
          </w:divBdr>
          <w:divsChild>
            <w:div w:id="420419474">
              <w:marLeft w:val="0"/>
              <w:marRight w:val="0"/>
              <w:marTop w:val="0"/>
              <w:marBottom w:val="0"/>
              <w:divBdr>
                <w:top w:val="none" w:sz="0" w:space="0" w:color="auto"/>
                <w:left w:val="none" w:sz="0" w:space="0" w:color="auto"/>
                <w:bottom w:val="none" w:sz="0" w:space="0" w:color="auto"/>
                <w:right w:val="none" w:sz="0" w:space="0" w:color="auto"/>
              </w:divBdr>
            </w:div>
          </w:divsChild>
        </w:div>
        <w:div w:id="1109617552">
          <w:marLeft w:val="0"/>
          <w:marRight w:val="0"/>
          <w:marTop w:val="0"/>
          <w:marBottom w:val="0"/>
          <w:divBdr>
            <w:top w:val="none" w:sz="0" w:space="0" w:color="auto"/>
            <w:left w:val="none" w:sz="0" w:space="0" w:color="auto"/>
            <w:bottom w:val="none" w:sz="0" w:space="0" w:color="auto"/>
            <w:right w:val="none" w:sz="0" w:space="0" w:color="auto"/>
          </w:divBdr>
          <w:divsChild>
            <w:div w:id="408120466">
              <w:marLeft w:val="0"/>
              <w:marRight w:val="0"/>
              <w:marTop w:val="0"/>
              <w:marBottom w:val="0"/>
              <w:divBdr>
                <w:top w:val="none" w:sz="0" w:space="0" w:color="auto"/>
                <w:left w:val="none" w:sz="0" w:space="0" w:color="auto"/>
                <w:bottom w:val="none" w:sz="0" w:space="0" w:color="auto"/>
                <w:right w:val="none" w:sz="0" w:space="0" w:color="auto"/>
              </w:divBdr>
            </w:div>
          </w:divsChild>
        </w:div>
        <w:div w:id="1330135231">
          <w:marLeft w:val="0"/>
          <w:marRight w:val="0"/>
          <w:marTop w:val="0"/>
          <w:marBottom w:val="0"/>
          <w:divBdr>
            <w:top w:val="none" w:sz="0" w:space="0" w:color="auto"/>
            <w:left w:val="none" w:sz="0" w:space="0" w:color="auto"/>
            <w:bottom w:val="none" w:sz="0" w:space="0" w:color="auto"/>
            <w:right w:val="none" w:sz="0" w:space="0" w:color="auto"/>
          </w:divBdr>
          <w:divsChild>
            <w:div w:id="1963655423">
              <w:marLeft w:val="0"/>
              <w:marRight w:val="0"/>
              <w:marTop w:val="0"/>
              <w:marBottom w:val="0"/>
              <w:divBdr>
                <w:top w:val="none" w:sz="0" w:space="0" w:color="auto"/>
                <w:left w:val="none" w:sz="0" w:space="0" w:color="auto"/>
                <w:bottom w:val="none" w:sz="0" w:space="0" w:color="auto"/>
                <w:right w:val="none" w:sz="0" w:space="0" w:color="auto"/>
              </w:divBdr>
            </w:div>
          </w:divsChild>
        </w:div>
        <w:div w:id="1348216265">
          <w:marLeft w:val="0"/>
          <w:marRight w:val="0"/>
          <w:marTop w:val="0"/>
          <w:marBottom w:val="0"/>
          <w:divBdr>
            <w:top w:val="none" w:sz="0" w:space="0" w:color="auto"/>
            <w:left w:val="none" w:sz="0" w:space="0" w:color="auto"/>
            <w:bottom w:val="none" w:sz="0" w:space="0" w:color="auto"/>
            <w:right w:val="none" w:sz="0" w:space="0" w:color="auto"/>
          </w:divBdr>
          <w:divsChild>
            <w:div w:id="275798218">
              <w:marLeft w:val="0"/>
              <w:marRight w:val="0"/>
              <w:marTop w:val="0"/>
              <w:marBottom w:val="0"/>
              <w:divBdr>
                <w:top w:val="none" w:sz="0" w:space="0" w:color="auto"/>
                <w:left w:val="none" w:sz="0" w:space="0" w:color="auto"/>
                <w:bottom w:val="none" w:sz="0" w:space="0" w:color="auto"/>
                <w:right w:val="none" w:sz="0" w:space="0" w:color="auto"/>
              </w:divBdr>
            </w:div>
          </w:divsChild>
        </w:div>
        <w:div w:id="1888951352">
          <w:marLeft w:val="0"/>
          <w:marRight w:val="0"/>
          <w:marTop w:val="0"/>
          <w:marBottom w:val="0"/>
          <w:divBdr>
            <w:top w:val="none" w:sz="0" w:space="0" w:color="auto"/>
            <w:left w:val="none" w:sz="0" w:space="0" w:color="auto"/>
            <w:bottom w:val="none" w:sz="0" w:space="0" w:color="auto"/>
            <w:right w:val="none" w:sz="0" w:space="0" w:color="auto"/>
          </w:divBdr>
          <w:divsChild>
            <w:div w:id="7243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38354">
      <w:bodyDiv w:val="1"/>
      <w:marLeft w:val="0"/>
      <w:marRight w:val="0"/>
      <w:marTop w:val="0"/>
      <w:marBottom w:val="0"/>
      <w:divBdr>
        <w:top w:val="none" w:sz="0" w:space="0" w:color="auto"/>
        <w:left w:val="none" w:sz="0" w:space="0" w:color="auto"/>
        <w:bottom w:val="none" w:sz="0" w:space="0" w:color="auto"/>
        <w:right w:val="none" w:sz="0" w:space="0" w:color="auto"/>
      </w:divBdr>
    </w:div>
    <w:div w:id="1923876552">
      <w:bodyDiv w:val="1"/>
      <w:marLeft w:val="0"/>
      <w:marRight w:val="0"/>
      <w:marTop w:val="0"/>
      <w:marBottom w:val="0"/>
      <w:divBdr>
        <w:top w:val="none" w:sz="0" w:space="0" w:color="auto"/>
        <w:left w:val="none" w:sz="0" w:space="0" w:color="auto"/>
        <w:bottom w:val="none" w:sz="0" w:space="0" w:color="auto"/>
        <w:right w:val="none" w:sz="0" w:space="0" w:color="auto"/>
      </w:divBdr>
    </w:div>
    <w:div w:id="2032946618">
      <w:bodyDiv w:val="1"/>
      <w:marLeft w:val="0"/>
      <w:marRight w:val="0"/>
      <w:marTop w:val="0"/>
      <w:marBottom w:val="0"/>
      <w:divBdr>
        <w:top w:val="none" w:sz="0" w:space="0" w:color="auto"/>
        <w:left w:val="none" w:sz="0" w:space="0" w:color="auto"/>
        <w:bottom w:val="none" w:sz="0" w:space="0" w:color="auto"/>
        <w:right w:val="none" w:sz="0" w:space="0" w:color="auto"/>
      </w:divBdr>
      <w:divsChild>
        <w:div w:id="311570916">
          <w:marLeft w:val="0"/>
          <w:marRight w:val="0"/>
          <w:marTop w:val="0"/>
          <w:marBottom w:val="0"/>
          <w:divBdr>
            <w:top w:val="none" w:sz="0" w:space="0" w:color="auto"/>
            <w:left w:val="none" w:sz="0" w:space="0" w:color="auto"/>
            <w:bottom w:val="none" w:sz="0" w:space="0" w:color="auto"/>
            <w:right w:val="none" w:sz="0" w:space="0" w:color="auto"/>
          </w:divBdr>
          <w:divsChild>
            <w:div w:id="1574394893">
              <w:marLeft w:val="0"/>
              <w:marRight w:val="0"/>
              <w:marTop w:val="0"/>
              <w:marBottom w:val="0"/>
              <w:divBdr>
                <w:top w:val="none" w:sz="0" w:space="0" w:color="auto"/>
                <w:left w:val="none" w:sz="0" w:space="0" w:color="auto"/>
                <w:bottom w:val="none" w:sz="0" w:space="0" w:color="auto"/>
                <w:right w:val="none" w:sz="0" w:space="0" w:color="auto"/>
              </w:divBdr>
              <w:divsChild>
                <w:div w:id="17792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7436">
          <w:marLeft w:val="0"/>
          <w:marRight w:val="0"/>
          <w:marTop w:val="0"/>
          <w:marBottom w:val="0"/>
          <w:divBdr>
            <w:top w:val="none" w:sz="0" w:space="0" w:color="auto"/>
            <w:left w:val="none" w:sz="0" w:space="0" w:color="auto"/>
            <w:bottom w:val="none" w:sz="0" w:space="0" w:color="auto"/>
            <w:right w:val="none" w:sz="0" w:space="0" w:color="auto"/>
          </w:divBdr>
          <w:divsChild>
            <w:div w:id="1000935990">
              <w:marLeft w:val="0"/>
              <w:marRight w:val="0"/>
              <w:marTop w:val="0"/>
              <w:marBottom w:val="0"/>
              <w:divBdr>
                <w:top w:val="none" w:sz="0" w:space="0" w:color="auto"/>
                <w:left w:val="none" w:sz="0" w:space="0" w:color="auto"/>
                <w:bottom w:val="none" w:sz="0" w:space="0" w:color="auto"/>
                <w:right w:val="none" w:sz="0" w:space="0" w:color="auto"/>
              </w:divBdr>
              <w:divsChild>
                <w:div w:id="17608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0489">
          <w:marLeft w:val="0"/>
          <w:marRight w:val="0"/>
          <w:marTop w:val="0"/>
          <w:marBottom w:val="0"/>
          <w:divBdr>
            <w:top w:val="none" w:sz="0" w:space="0" w:color="auto"/>
            <w:left w:val="none" w:sz="0" w:space="0" w:color="auto"/>
            <w:bottom w:val="none" w:sz="0" w:space="0" w:color="auto"/>
            <w:right w:val="none" w:sz="0" w:space="0" w:color="auto"/>
          </w:divBdr>
          <w:divsChild>
            <w:div w:id="1090853778">
              <w:marLeft w:val="0"/>
              <w:marRight w:val="0"/>
              <w:marTop w:val="0"/>
              <w:marBottom w:val="0"/>
              <w:divBdr>
                <w:top w:val="none" w:sz="0" w:space="0" w:color="auto"/>
                <w:left w:val="none" w:sz="0" w:space="0" w:color="auto"/>
                <w:bottom w:val="none" w:sz="0" w:space="0" w:color="auto"/>
                <w:right w:val="none" w:sz="0" w:space="0" w:color="auto"/>
              </w:divBdr>
              <w:divsChild>
                <w:div w:id="20773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044710">
      <w:bodyDiv w:val="1"/>
      <w:marLeft w:val="0"/>
      <w:marRight w:val="0"/>
      <w:marTop w:val="0"/>
      <w:marBottom w:val="0"/>
      <w:divBdr>
        <w:top w:val="none" w:sz="0" w:space="0" w:color="auto"/>
        <w:left w:val="none" w:sz="0" w:space="0" w:color="auto"/>
        <w:bottom w:val="none" w:sz="0" w:space="0" w:color="auto"/>
        <w:right w:val="none" w:sz="0" w:space="0" w:color="auto"/>
      </w:divBdr>
      <w:divsChild>
        <w:div w:id="24452723">
          <w:marLeft w:val="0"/>
          <w:marRight w:val="0"/>
          <w:marTop w:val="0"/>
          <w:marBottom w:val="0"/>
          <w:divBdr>
            <w:top w:val="none" w:sz="0" w:space="0" w:color="auto"/>
            <w:left w:val="none" w:sz="0" w:space="0" w:color="auto"/>
            <w:bottom w:val="none" w:sz="0" w:space="0" w:color="auto"/>
            <w:right w:val="none" w:sz="0" w:space="0" w:color="auto"/>
          </w:divBdr>
          <w:divsChild>
            <w:div w:id="821197312">
              <w:marLeft w:val="0"/>
              <w:marRight w:val="0"/>
              <w:marTop w:val="0"/>
              <w:marBottom w:val="0"/>
              <w:divBdr>
                <w:top w:val="none" w:sz="0" w:space="0" w:color="auto"/>
                <w:left w:val="none" w:sz="0" w:space="0" w:color="auto"/>
                <w:bottom w:val="none" w:sz="0" w:space="0" w:color="auto"/>
                <w:right w:val="none" w:sz="0" w:space="0" w:color="auto"/>
              </w:divBdr>
            </w:div>
          </w:divsChild>
        </w:div>
        <w:div w:id="381638870">
          <w:marLeft w:val="0"/>
          <w:marRight w:val="0"/>
          <w:marTop w:val="0"/>
          <w:marBottom w:val="0"/>
          <w:divBdr>
            <w:top w:val="none" w:sz="0" w:space="0" w:color="auto"/>
            <w:left w:val="none" w:sz="0" w:space="0" w:color="auto"/>
            <w:bottom w:val="none" w:sz="0" w:space="0" w:color="auto"/>
            <w:right w:val="none" w:sz="0" w:space="0" w:color="auto"/>
          </w:divBdr>
          <w:divsChild>
            <w:div w:id="1318073078">
              <w:marLeft w:val="0"/>
              <w:marRight w:val="0"/>
              <w:marTop w:val="0"/>
              <w:marBottom w:val="0"/>
              <w:divBdr>
                <w:top w:val="none" w:sz="0" w:space="0" w:color="auto"/>
                <w:left w:val="none" w:sz="0" w:space="0" w:color="auto"/>
                <w:bottom w:val="none" w:sz="0" w:space="0" w:color="auto"/>
                <w:right w:val="none" w:sz="0" w:space="0" w:color="auto"/>
              </w:divBdr>
            </w:div>
          </w:divsChild>
        </w:div>
        <w:div w:id="387265863">
          <w:marLeft w:val="0"/>
          <w:marRight w:val="0"/>
          <w:marTop w:val="0"/>
          <w:marBottom w:val="0"/>
          <w:divBdr>
            <w:top w:val="none" w:sz="0" w:space="0" w:color="auto"/>
            <w:left w:val="none" w:sz="0" w:space="0" w:color="auto"/>
            <w:bottom w:val="none" w:sz="0" w:space="0" w:color="auto"/>
            <w:right w:val="none" w:sz="0" w:space="0" w:color="auto"/>
          </w:divBdr>
          <w:divsChild>
            <w:div w:id="1612781717">
              <w:marLeft w:val="0"/>
              <w:marRight w:val="0"/>
              <w:marTop w:val="0"/>
              <w:marBottom w:val="0"/>
              <w:divBdr>
                <w:top w:val="none" w:sz="0" w:space="0" w:color="auto"/>
                <w:left w:val="none" w:sz="0" w:space="0" w:color="auto"/>
                <w:bottom w:val="none" w:sz="0" w:space="0" w:color="auto"/>
                <w:right w:val="none" w:sz="0" w:space="0" w:color="auto"/>
              </w:divBdr>
            </w:div>
          </w:divsChild>
        </w:div>
        <w:div w:id="558127843">
          <w:marLeft w:val="0"/>
          <w:marRight w:val="0"/>
          <w:marTop w:val="0"/>
          <w:marBottom w:val="0"/>
          <w:divBdr>
            <w:top w:val="none" w:sz="0" w:space="0" w:color="auto"/>
            <w:left w:val="none" w:sz="0" w:space="0" w:color="auto"/>
            <w:bottom w:val="none" w:sz="0" w:space="0" w:color="auto"/>
            <w:right w:val="none" w:sz="0" w:space="0" w:color="auto"/>
          </w:divBdr>
          <w:divsChild>
            <w:div w:id="1713532453">
              <w:marLeft w:val="0"/>
              <w:marRight w:val="0"/>
              <w:marTop w:val="0"/>
              <w:marBottom w:val="0"/>
              <w:divBdr>
                <w:top w:val="none" w:sz="0" w:space="0" w:color="auto"/>
                <w:left w:val="none" w:sz="0" w:space="0" w:color="auto"/>
                <w:bottom w:val="none" w:sz="0" w:space="0" w:color="auto"/>
                <w:right w:val="none" w:sz="0" w:space="0" w:color="auto"/>
              </w:divBdr>
            </w:div>
          </w:divsChild>
        </w:div>
        <w:div w:id="894776311">
          <w:marLeft w:val="0"/>
          <w:marRight w:val="0"/>
          <w:marTop w:val="0"/>
          <w:marBottom w:val="0"/>
          <w:divBdr>
            <w:top w:val="none" w:sz="0" w:space="0" w:color="auto"/>
            <w:left w:val="none" w:sz="0" w:space="0" w:color="auto"/>
            <w:bottom w:val="none" w:sz="0" w:space="0" w:color="auto"/>
            <w:right w:val="none" w:sz="0" w:space="0" w:color="auto"/>
          </w:divBdr>
          <w:divsChild>
            <w:div w:id="1706565302">
              <w:marLeft w:val="0"/>
              <w:marRight w:val="0"/>
              <w:marTop w:val="0"/>
              <w:marBottom w:val="0"/>
              <w:divBdr>
                <w:top w:val="none" w:sz="0" w:space="0" w:color="auto"/>
                <w:left w:val="none" w:sz="0" w:space="0" w:color="auto"/>
                <w:bottom w:val="none" w:sz="0" w:space="0" w:color="auto"/>
                <w:right w:val="none" w:sz="0" w:space="0" w:color="auto"/>
              </w:divBdr>
            </w:div>
          </w:divsChild>
        </w:div>
        <w:div w:id="1048266169">
          <w:marLeft w:val="0"/>
          <w:marRight w:val="0"/>
          <w:marTop w:val="0"/>
          <w:marBottom w:val="0"/>
          <w:divBdr>
            <w:top w:val="none" w:sz="0" w:space="0" w:color="auto"/>
            <w:left w:val="none" w:sz="0" w:space="0" w:color="auto"/>
            <w:bottom w:val="none" w:sz="0" w:space="0" w:color="auto"/>
            <w:right w:val="none" w:sz="0" w:space="0" w:color="auto"/>
          </w:divBdr>
          <w:divsChild>
            <w:div w:id="813061147">
              <w:marLeft w:val="0"/>
              <w:marRight w:val="0"/>
              <w:marTop w:val="0"/>
              <w:marBottom w:val="0"/>
              <w:divBdr>
                <w:top w:val="none" w:sz="0" w:space="0" w:color="auto"/>
                <w:left w:val="none" w:sz="0" w:space="0" w:color="auto"/>
                <w:bottom w:val="none" w:sz="0" w:space="0" w:color="auto"/>
                <w:right w:val="none" w:sz="0" w:space="0" w:color="auto"/>
              </w:divBdr>
            </w:div>
          </w:divsChild>
        </w:div>
        <w:div w:id="1086537084">
          <w:marLeft w:val="0"/>
          <w:marRight w:val="0"/>
          <w:marTop w:val="0"/>
          <w:marBottom w:val="0"/>
          <w:divBdr>
            <w:top w:val="none" w:sz="0" w:space="0" w:color="auto"/>
            <w:left w:val="none" w:sz="0" w:space="0" w:color="auto"/>
            <w:bottom w:val="none" w:sz="0" w:space="0" w:color="auto"/>
            <w:right w:val="none" w:sz="0" w:space="0" w:color="auto"/>
          </w:divBdr>
          <w:divsChild>
            <w:div w:id="2088795760">
              <w:marLeft w:val="0"/>
              <w:marRight w:val="0"/>
              <w:marTop w:val="0"/>
              <w:marBottom w:val="0"/>
              <w:divBdr>
                <w:top w:val="none" w:sz="0" w:space="0" w:color="auto"/>
                <w:left w:val="none" w:sz="0" w:space="0" w:color="auto"/>
                <w:bottom w:val="none" w:sz="0" w:space="0" w:color="auto"/>
                <w:right w:val="none" w:sz="0" w:space="0" w:color="auto"/>
              </w:divBdr>
            </w:div>
          </w:divsChild>
        </w:div>
        <w:div w:id="1315722182">
          <w:marLeft w:val="0"/>
          <w:marRight w:val="0"/>
          <w:marTop w:val="0"/>
          <w:marBottom w:val="0"/>
          <w:divBdr>
            <w:top w:val="none" w:sz="0" w:space="0" w:color="auto"/>
            <w:left w:val="none" w:sz="0" w:space="0" w:color="auto"/>
            <w:bottom w:val="none" w:sz="0" w:space="0" w:color="auto"/>
            <w:right w:val="none" w:sz="0" w:space="0" w:color="auto"/>
          </w:divBdr>
          <w:divsChild>
            <w:div w:id="1455292581">
              <w:marLeft w:val="0"/>
              <w:marRight w:val="0"/>
              <w:marTop w:val="0"/>
              <w:marBottom w:val="0"/>
              <w:divBdr>
                <w:top w:val="none" w:sz="0" w:space="0" w:color="auto"/>
                <w:left w:val="none" w:sz="0" w:space="0" w:color="auto"/>
                <w:bottom w:val="none" w:sz="0" w:space="0" w:color="auto"/>
                <w:right w:val="none" w:sz="0" w:space="0" w:color="auto"/>
              </w:divBdr>
            </w:div>
          </w:divsChild>
        </w:div>
        <w:div w:id="1714380762">
          <w:marLeft w:val="0"/>
          <w:marRight w:val="0"/>
          <w:marTop w:val="0"/>
          <w:marBottom w:val="0"/>
          <w:divBdr>
            <w:top w:val="none" w:sz="0" w:space="0" w:color="auto"/>
            <w:left w:val="none" w:sz="0" w:space="0" w:color="auto"/>
            <w:bottom w:val="none" w:sz="0" w:space="0" w:color="auto"/>
            <w:right w:val="none" w:sz="0" w:space="0" w:color="auto"/>
          </w:divBdr>
          <w:divsChild>
            <w:div w:id="11290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ggie\AppData\Roaming\Microsoft\Excel\Book1%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Sheet1!$B$2:$B$4</c:f>
              <c:numCache>
                <c:formatCode>0%</c:formatCode>
                <c:ptCount val="3"/>
                <c:pt idx="0">
                  <c:v>0.73</c:v>
                </c:pt>
                <c:pt idx="1">
                  <c:v>0.18</c:v>
                </c:pt>
                <c:pt idx="2">
                  <c:v>0.04</c:v>
                </c:pt>
              </c:numCache>
            </c:numRef>
          </c:val>
        </c:ser>
        <c:ser>
          <c:idx val="1"/>
          <c:order val="1"/>
          <c:tx>
            <c:strRef>
              <c:f>Sheet1!$C$1</c:f>
              <c:strCache>
                <c:ptCount val="1"/>
                <c:pt idx="0">
                  <c:v>Unbanked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Sheet1!$C$2:$C$4</c:f>
              <c:numCache>
                <c:formatCode>0%</c:formatCode>
                <c:ptCount val="3"/>
                <c:pt idx="0">
                  <c:v>0.03</c:v>
                </c:pt>
                <c:pt idx="1">
                  <c:v>0.16</c:v>
                </c:pt>
                <c:pt idx="2">
                  <c:v>0.73</c:v>
                </c:pt>
              </c:numCache>
            </c:numRef>
          </c:val>
        </c:ser>
        <c:dLbls>
          <c:showLegendKey val="0"/>
          <c:showVal val="0"/>
          <c:showCatName val="0"/>
          <c:showSerName val="0"/>
          <c:showPercent val="0"/>
          <c:showBubbleSize val="0"/>
        </c:dLbls>
        <c:gapWidth val="150"/>
        <c:shape val="cylinder"/>
        <c:axId val="148103936"/>
        <c:axId val="148105856"/>
        <c:axId val="0"/>
      </c:bar3DChart>
      <c:catAx>
        <c:axId val="148103936"/>
        <c:scaling>
          <c:orientation val="minMax"/>
        </c:scaling>
        <c:delete val="0"/>
        <c:axPos val="b"/>
        <c:majorTickMark val="out"/>
        <c:minorTickMark val="none"/>
        <c:tickLblPos val="nextTo"/>
        <c:crossAx val="148105856"/>
        <c:crosses val="autoZero"/>
        <c:auto val="1"/>
        <c:lblAlgn val="ctr"/>
        <c:lblOffset val="100"/>
        <c:noMultiLvlLbl val="0"/>
      </c:catAx>
      <c:valAx>
        <c:axId val="148105856"/>
        <c:scaling>
          <c:orientation val="minMax"/>
        </c:scaling>
        <c:delete val="0"/>
        <c:axPos val="l"/>
        <c:majorGridlines/>
        <c:numFmt formatCode="0%" sourceLinked="1"/>
        <c:majorTickMark val="out"/>
        <c:minorTickMark val="none"/>
        <c:tickLblPos val="nextTo"/>
        <c:crossAx val="14810393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Sheet2!$B$2:$B$4</c:f>
              <c:numCache>
                <c:formatCode>0%</c:formatCode>
                <c:ptCount val="3"/>
                <c:pt idx="0">
                  <c:v>0.48</c:v>
                </c:pt>
                <c:pt idx="1">
                  <c:v>0.27</c:v>
                </c:pt>
                <c:pt idx="2">
                  <c:v>0.14000000000000001</c:v>
                </c:pt>
              </c:numCache>
            </c:numRef>
          </c:val>
        </c:ser>
        <c:ser>
          <c:idx val="1"/>
          <c:order val="1"/>
          <c:tx>
            <c:strRef>
              <c:f>Sheet2!$C$1</c:f>
              <c:strCache>
                <c:ptCount val="1"/>
                <c:pt idx="0">
                  <c:v>Unbanked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Sheet2!$C$2:$C$4</c:f>
              <c:numCache>
                <c:formatCode>0%</c:formatCode>
                <c:ptCount val="3"/>
                <c:pt idx="0">
                  <c:v>0.88</c:v>
                </c:pt>
                <c:pt idx="1">
                  <c:v>0.01</c:v>
                </c:pt>
                <c:pt idx="2">
                  <c:v>0.01</c:v>
                </c:pt>
              </c:numCache>
            </c:numRef>
          </c:val>
        </c:ser>
        <c:dLbls>
          <c:showLegendKey val="0"/>
          <c:showVal val="0"/>
          <c:showCatName val="0"/>
          <c:showSerName val="0"/>
          <c:showPercent val="0"/>
          <c:showBubbleSize val="0"/>
        </c:dLbls>
        <c:gapWidth val="150"/>
        <c:shape val="cylinder"/>
        <c:axId val="141643136"/>
        <c:axId val="141644928"/>
        <c:axId val="0"/>
      </c:bar3DChart>
      <c:catAx>
        <c:axId val="141643136"/>
        <c:scaling>
          <c:orientation val="minMax"/>
        </c:scaling>
        <c:delete val="0"/>
        <c:axPos val="b"/>
        <c:majorTickMark val="out"/>
        <c:minorTickMark val="none"/>
        <c:tickLblPos val="nextTo"/>
        <c:crossAx val="141644928"/>
        <c:crosses val="autoZero"/>
        <c:auto val="1"/>
        <c:lblAlgn val="ctr"/>
        <c:lblOffset val="100"/>
        <c:noMultiLvlLbl val="0"/>
      </c:catAx>
      <c:valAx>
        <c:axId val="141644928"/>
        <c:scaling>
          <c:orientation val="minMax"/>
        </c:scaling>
        <c:delete val="0"/>
        <c:axPos val="l"/>
        <c:majorGridlines/>
        <c:numFmt formatCode="0%" sourceLinked="1"/>
        <c:majorTickMark val="out"/>
        <c:minorTickMark val="none"/>
        <c:tickLblPos val="nextTo"/>
        <c:crossAx val="14164313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of unbanked Residents according</a:t>
            </a:r>
            <a:r>
              <a:rPr lang="en-US" baseline="0"/>
              <a:t>  to account history</a:t>
            </a:r>
            <a:endParaRPr lang="en-US"/>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Sheet7!$B$1</c:f>
              <c:strCache>
                <c:ptCount val="1"/>
                <c:pt idx="0">
                  <c:v>% of unbanked Residents</c:v>
                </c:pt>
              </c:strCache>
            </c:strRef>
          </c:tx>
          <c:cat>
            <c:strRef>
              <c:f>Sheet7!$A$2:$A$6</c:f>
              <c:strCache>
                <c:ptCount val="5"/>
                <c:pt idx="0">
                  <c:v>Never had an account anywhere</c:v>
                </c:pt>
                <c:pt idx="1">
                  <c:v>Had an account but no longer uses </c:v>
                </c:pt>
                <c:pt idx="2">
                  <c:v>Ever opened an account but will never again</c:v>
                </c:pt>
                <c:pt idx="3">
                  <c:v>Opened an account in a different country</c:v>
                </c:pt>
                <c:pt idx="4">
                  <c:v>Other </c:v>
                </c:pt>
              </c:strCache>
            </c:strRef>
          </c:cat>
          <c:val>
            <c:numRef>
              <c:f>Sheet7!$B$2:$B$6</c:f>
              <c:numCache>
                <c:formatCode>0%</c:formatCode>
                <c:ptCount val="5"/>
                <c:pt idx="0">
                  <c:v>0.63</c:v>
                </c:pt>
                <c:pt idx="1">
                  <c:v>0.22</c:v>
                </c:pt>
                <c:pt idx="2">
                  <c:v>0.09</c:v>
                </c:pt>
                <c:pt idx="3">
                  <c:v>0.03</c:v>
                </c:pt>
                <c:pt idx="4">
                  <c:v>0.03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a:effectLst/>
              </a:rPr>
              <a:t>Perceptions of personal </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finance</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Sheet6!$B$1</c:f>
              <c:strCache>
                <c:ptCount val="1"/>
                <c:pt idx="0">
                  <c:v>Banked </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Sheet6!$B$2:$B$4</c:f>
              <c:numCache>
                <c:formatCode>0%</c:formatCode>
                <c:ptCount val="3"/>
                <c:pt idx="0">
                  <c:v>0.24</c:v>
                </c:pt>
                <c:pt idx="1">
                  <c:v>0.49</c:v>
                </c:pt>
                <c:pt idx="2">
                  <c:v>0.27</c:v>
                </c:pt>
              </c:numCache>
            </c:numRef>
          </c:val>
        </c:ser>
        <c:ser>
          <c:idx val="1"/>
          <c:order val="1"/>
          <c:tx>
            <c:strRef>
              <c:f>Sheet6!$C$1</c:f>
              <c:strCache>
                <c:ptCount val="1"/>
                <c:pt idx="0">
                  <c:v>Unbanked</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Sheet6!$C$2:$C$4</c:f>
              <c:numCache>
                <c:formatCode>0%</c:formatCode>
                <c:ptCount val="3"/>
                <c:pt idx="0">
                  <c:v>0.11</c:v>
                </c:pt>
                <c:pt idx="1">
                  <c:v>0.51</c:v>
                </c:pt>
                <c:pt idx="2">
                  <c:v>0.38</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 of households (2009)</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Sheet1!$B$2:$B$8</c:f>
              <c:numCache>
                <c:formatCode>General</c:formatCode>
                <c:ptCount val="7"/>
                <c:pt idx="0">
                  <c:v>7.6</c:v>
                </c:pt>
                <c:pt idx="1">
                  <c:v>21.5</c:v>
                </c:pt>
                <c:pt idx="2">
                  <c:v>19.2</c:v>
                </c:pt>
                <c:pt idx="3">
                  <c:v>15.3</c:v>
                </c:pt>
                <c:pt idx="4">
                  <c:v>9</c:v>
                </c:pt>
                <c:pt idx="5">
                  <c:v>3.3</c:v>
                </c:pt>
                <c:pt idx="6">
                  <c:v>3.5</c:v>
                </c:pt>
              </c:numCache>
            </c:numRef>
          </c:val>
        </c:ser>
        <c:ser>
          <c:idx val="1"/>
          <c:order val="1"/>
          <c:tx>
            <c:strRef>
              <c:f>Sheet1!$C$1</c:f>
              <c:strCache>
                <c:ptCount val="1"/>
                <c:pt idx="0">
                  <c:v>% of households (2011)</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Sheet1!$C$2:$C$8</c:f>
              <c:numCache>
                <c:formatCode>General</c:formatCode>
                <c:ptCount val="7"/>
                <c:pt idx="0">
                  <c:v>8.1999999999999993</c:v>
                </c:pt>
                <c:pt idx="1">
                  <c:v>21.4</c:v>
                </c:pt>
                <c:pt idx="2">
                  <c:v>20.100000000000001</c:v>
                </c:pt>
                <c:pt idx="3">
                  <c:v>14.5</c:v>
                </c:pt>
                <c:pt idx="4">
                  <c:v>6.2</c:v>
                </c:pt>
                <c:pt idx="5">
                  <c:v>4</c:v>
                </c:pt>
                <c:pt idx="6">
                  <c:v>2.7</c:v>
                </c:pt>
              </c:numCache>
            </c:numRef>
          </c:val>
        </c:ser>
        <c:dLbls>
          <c:showLegendKey val="0"/>
          <c:showVal val="0"/>
          <c:showCatName val="0"/>
          <c:showSerName val="0"/>
          <c:showPercent val="0"/>
          <c:showBubbleSize val="0"/>
        </c:dLbls>
        <c:gapWidth val="150"/>
        <c:shape val="cylinder"/>
        <c:axId val="146251136"/>
        <c:axId val="146294272"/>
        <c:axId val="0"/>
      </c:bar3DChart>
      <c:catAx>
        <c:axId val="146251136"/>
        <c:scaling>
          <c:orientation val="minMax"/>
        </c:scaling>
        <c:delete val="0"/>
        <c:axPos val="b"/>
        <c:title>
          <c:tx>
            <c:rich>
              <a:bodyPr/>
              <a:lstStyle/>
              <a:p>
                <a:pPr>
                  <a:defRPr/>
                </a:pPr>
                <a:r>
                  <a:rPr lang="en-US"/>
                  <a:t>Race</a:t>
                </a:r>
              </a:p>
            </c:rich>
          </c:tx>
          <c:overlay val="0"/>
        </c:title>
        <c:majorTickMark val="out"/>
        <c:minorTickMark val="none"/>
        <c:tickLblPos val="nextTo"/>
        <c:crossAx val="146294272"/>
        <c:crosses val="autoZero"/>
        <c:auto val="1"/>
        <c:lblAlgn val="ctr"/>
        <c:lblOffset val="100"/>
        <c:noMultiLvlLbl val="0"/>
      </c:catAx>
      <c:valAx>
        <c:axId val="146294272"/>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4625113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 of households (2009)</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Sheet2!$B$2:$B$8</c:f>
              <c:numCache>
                <c:formatCode>General</c:formatCode>
                <c:ptCount val="7"/>
                <c:pt idx="0">
                  <c:v>7.6</c:v>
                </c:pt>
                <c:pt idx="1">
                  <c:v>15.7</c:v>
                </c:pt>
                <c:pt idx="2">
                  <c:v>11.7</c:v>
                </c:pt>
                <c:pt idx="3">
                  <c:v>8.9</c:v>
                </c:pt>
                <c:pt idx="4">
                  <c:v>7.5</c:v>
                </c:pt>
                <c:pt idx="5">
                  <c:v>4.8</c:v>
                </c:pt>
                <c:pt idx="6">
                  <c:v>3.5</c:v>
                </c:pt>
              </c:numCache>
            </c:numRef>
          </c:val>
        </c:ser>
        <c:ser>
          <c:idx val="1"/>
          <c:order val="1"/>
          <c:tx>
            <c:strRef>
              <c:f>Sheet2!$C$1</c:f>
              <c:strCache>
                <c:ptCount val="1"/>
                <c:pt idx="0">
                  <c:v>% of households (2011)</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Sheet2!$C$2:$C$8</c:f>
              <c:numCache>
                <c:formatCode>General</c:formatCode>
                <c:ptCount val="7"/>
                <c:pt idx="0">
                  <c:v>8.1999999999999993</c:v>
                </c:pt>
                <c:pt idx="1">
                  <c:v>17.399999999999999</c:v>
                </c:pt>
                <c:pt idx="2">
                  <c:v>12.7</c:v>
                </c:pt>
                <c:pt idx="3">
                  <c:v>8.9</c:v>
                </c:pt>
                <c:pt idx="4">
                  <c:v>8.1</c:v>
                </c:pt>
                <c:pt idx="5">
                  <c:v>5.5</c:v>
                </c:pt>
                <c:pt idx="6">
                  <c:v>3.9</c:v>
                </c:pt>
              </c:numCache>
            </c:numRef>
          </c:val>
        </c:ser>
        <c:dLbls>
          <c:showLegendKey val="0"/>
          <c:showVal val="0"/>
          <c:showCatName val="0"/>
          <c:showSerName val="0"/>
          <c:showPercent val="0"/>
          <c:showBubbleSize val="0"/>
        </c:dLbls>
        <c:gapWidth val="150"/>
        <c:shape val="cylinder"/>
        <c:axId val="146508416"/>
        <c:axId val="146531072"/>
        <c:axId val="0"/>
      </c:bar3DChart>
      <c:catAx>
        <c:axId val="146508416"/>
        <c:scaling>
          <c:orientation val="minMax"/>
        </c:scaling>
        <c:delete val="0"/>
        <c:axPos val="b"/>
        <c:title>
          <c:tx>
            <c:rich>
              <a:bodyPr/>
              <a:lstStyle/>
              <a:p>
                <a:pPr>
                  <a:defRPr/>
                </a:pPr>
                <a:r>
                  <a:rPr lang="en-US"/>
                  <a:t>Age</a:t>
                </a:r>
              </a:p>
            </c:rich>
          </c:tx>
          <c:overlay val="0"/>
        </c:title>
        <c:majorTickMark val="out"/>
        <c:minorTickMark val="none"/>
        <c:tickLblPos val="nextTo"/>
        <c:crossAx val="146531072"/>
        <c:crosses val="autoZero"/>
        <c:auto val="1"/>
        <c:lblAlgn val="ctr"/>
        <c:lblOffset val="100"/>
        <c:noMultiLvlLbl val="0"/>
      </c:catAx>
      <c:valAx>
        <c:axId val="146531072"/>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4650841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 of households (2009)</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Sheet3!$B$2:$B$7</c:f>
              <c:numCache>
                <c:formatCode>General</c:formatCode>
                <c:ptCount val="6"/>
                <c:pt idx="0">
                  <c:v>7.6</c:v>
                </c:pt>
                <c:pt idx="1">
                  <c:v>27</c:v>
                </c:pt>
                <c:pt idx="2">
                  <c:v>13</c:v>
                </c:pt>
                <c:pt idx="3">
                  <c:v>4.0999999999999996</c:v>
                </c:pt>
                <c:pt idx="4">
                  <c:v>1.5</c:v>
                </c:pt>
                <c:pt idx="5">
                  <c:v>0.3</c:v>
                </c:pt>
              </c:numCache>
            </c:numRef>
          </c:val>
        </c:ser>
        <c:ser>
          <c:idx val="1"/>
          <c:order val="1"/>
          <c:tx>
            <c:strRef>
              <c:f>Sheet3!$C$1</c:f>
              <c:strCache>
                <c:ptCount val="1"/>
                <c:pt idx="0">
                  <c:v>% of households (2011)</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Sheet3!$C$2:$C$7</c:f>
              <c:numCache>
                <c:formatCode>General</c:formatCode>
                <c:ptCount val="6"/>
                <c:pt idx="0">
                  <c:v>8.1999999999999993</c:v>
                </c:pt>
                <c:pt idx="1">
                  <c:v>29.6</c:v>
                </c:pt>
                <c:pt idx="2">
                  <c:v>11.4</c:v>
                </c:pt>
                <c:pt idx="3">
                  <c:v>4.5</c:v>
                </c:pt>
                <c:pt idx="4">
                  <c:v>1.4</c:v>
                </c:pt>
                <c:pt idx="5">
                  <c:v>0.2</c:v>
                </c:pt>
              </c:numCache>
            </c:numRef>
          </c:val>
        </c:ser>
        <c:dLbls>
          <c:showLegendKey val="0"/>
          <c:showVal val="0"/>
          <c:showCatName val="0"/>
          <c:showSerName val="0"/>
          <c:showPercent val="0"/>
          <c:showBubbleSize val="0"/>
        </c:dLbls>
        <c:gapWidth val="150"/>
        <c:shape val="cylinder"/>
        <c:axId val="146626432"/>
        <c:axId val="146640896"/>
        <c:axId val="0"/>
      </c:bar3DChart>
      <c:catAx>
        <c:axId val="146626432"/>
        <c:scaling>
          <c:orientation val="minMax"/>
        </c:scaling>
        <c:delete val="0"/>
        <c:axPos val="b"/>
        <c:title>
          <c:tx>
            <c:rich>
              <a:bodyPr/>
              <a:lstStyle/>
              <a:p>
                <a:pPr>
                  <a:defRPr/>
                </a:pPr>
                <a:r>
                  <a:rPr lang="en-US"/>
                  <a:t>Income per year</a:t>
                </a:r>
              </a:p>
            </c:rich>
          </c:tx>
          <c:overlay val="0"/>
        </c:title>
        <c:majorTickMark val="out"/>
        <c:minorTickMark val="none"/>
        <c:tickLblPos val="nextTo"/>
        <c:crossAx val="146640896"/>
        <c:crosses val="autoZero"/>
        <c:auto val="1"/>
        <c:lblAlgn val="ctr"/>
        <c:lblOffset val="100"/>
        <c:noMultiLvlLbl val="0"/>
      </c:catAx>
      <c:valAx>
        <c:axId val="146640896"/>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46626432"/>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 of households (2009)</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Sheet4!$B$2:$B$7</c:f>
              <c:numCache>
                <c:formatCode>General</c:formatCode>
                <c:ptCount val="6"/>
                <c:pt idx="0">
                  <c:v>7.6</c:v>
                </c:pt>
                <c:pt idx="1">
                  <c:v>19.5</c:v>
                </c:pt>
                <c:pt idx="2">
                  <c:v>14.8</c:v>
                </c:pt>
                <c:pt idx="3">
                  <c:v>6.6</c:v>
                </c:pt>
                <c:pt idx="4">
                  <c:v>17.7</c:v>
                </c:pt>
                <c:pt idx="5">
                  <c:v>3.5</c:v>
                </c:pt>
              </c:numCache>
            </c:numRef>
          </c:val>
        </c:ser>
        <c:ser>
          <c:idx val="1"/>
          <c:order val="1"/>
          <c:tx>
            <c:strRef>
              <c:f>Sheet4!$C$1</c:f>
              <c:strCache>
                <c:ptCount val="1"/>
                <c:pt idx="0">
                  <c:v>% of households (2011)</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Sheet4!$C$2:$C$7</c:f>
              <c:numCache>
                <c:formatCode>General</c:formatCode>
                <c:ptCount val="6"/>
                <c:pt idx="0">
                  <c:v>8.1999999999999993</c:v>
                </c:pt>
                <c:pt idx="1">
                  <c:v>19.100000000000001</c:v>
                </c:pt>
                <c:pt idx="2">
                  <c:v>14.3</c:v>
                </c:pt>
                <c:pt idx="3">
                  <c:v>7.8</c:v>
                </c:pt>
                <c:pt idx="4">
                  <c:v>11.4</c:v>
                </c:pt>
                <c:pt idx="5">
                  <c:v>3.7</c:v>
                </c:pt>
              </c:numCache>
            </c:numRef>
          </c:val>
        </c:ser>
        <c:dLbls>
          <c:showLegendKey val="0"/>
          <c:showVal val="0"/>
          <c:showCatName val="0"/>
          <c:showSerName val="0"/>
          <c:showPercent val="0"/>
          <c:showBubbleSize val="0"/>
        </c:dLbls>
        <c:gapWidth val="150"/>
        <c:shape val="cylinder"/>
        <c:axId val="148051072"/>
        <c:axId val="148052992"/>
        <c:axId val="0"/>
      </c:bar3DChart>
      <c:catAx>
        <c:axId val="148051072"/>
        <c:scaling>
          <c:orientation val="minMax"/>
        </c:scaling>
        <c:delete val="0"/>
        <c:axPos val="b"/>
        <c:title>
          <c:tx>
            <c:rich>
              <a:bodyPr/>
              <a:lstStyle/>
              <a:p>
                <a:pPr>
                  <a:defRPr/>
                </a:pPr>
                <a:r>
                  <a:rPr lang="en-US"/>
                  <a:t>Household Type</a:t>
                </a:r>
              </a:p>
            </c:rich>
          </c:tx>
          <c:overlay val="0"/>
        </c:title>
        <c:majorTickMark val="out"/>
        <c:minorTickMark val="none"/>
        <c:tickLblPos val="nextTo"/>
        <c:crossAx val="148052992"/>
        <c:crosses val="autoZero"/>
        <c:auto val="1"/>
        <c:lblAlgn val="ctr"/>
        <c:lblOffset val="100"/>
        <c:noMultiLvlLbl val="0"/>
      </c:catAx>
      <c:valAx>
        <c:axId val="148052992"/>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14805107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 of households (2009)</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Sheet5!$B$2:$B$6</c:f>
              <c:numCache>
                <c:formatCode>General</c:formatCode>
                <c:ptCount val="5"/>
                <c:pt idx="0">
                  <c:v>7.6</c:v>
                </c:pt>
                <c:pt idx="1">
                  <c:v>24.4</c:v>
                </c:pt>
                <c:pt idx="2">
                  <c:v>9.6</c:v>
                </c:pt>
                <c:pt idx="3">
                  <c:v>4.9000000000000004</c:v>
                </c:pt>
                <c:pt idx="4">
                  <c:v>1.2</c:v>
                </c:pt>
              </c:numCache>
            </c:numRef>
          </c:val>
        </c:ser>
        <c:ser>
          <c:idx val="1"/>
          <c:order val="1"/>
          <c:tx>
            <c:strRef>
              <c:f>Sheet5!$C$1</c:f>
              <c:strCache>
                <c:ptCount val="1"/>
                <c:pt idx="0">
                  <c:v>% of households (2011)</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Sheet5!$C$2:$C$6</c:f>
              <c:numCache>
                <c:formatCode>General</c:formatCode>
                <c:ptCount val="5"/>
                <c:pt idx="0">
                  <c:v>8.1999999999999993</c:v>
                </c:pt>
                <c:pt idx="1">
                  <c:v>25.8</c:v>
                </c:pt>
                <c:pt idx="2">
                  <c:v>10.9</c:v>
                </c:pt>
                <c:pt idx="3">
                  <c:v>5.9</c:v>
                </c:pt>
                <c:pt idx="4">
                  <c:v>1.1000000000000001</c:v>
                </c:pt>
              </c:numCache>
            </c:numRef>
          </c:val>
        </c:ser>
        <c:dLbls>
          <c:showLegendKey val="0"/>
          <c:showVal val="0"/>
          <c:showCatName val="0"/>
          <c:showSerName val="0"/>
          <c:showPercent val="0"/>
          <c:showBubbleSize val="0"/>
        </c:dLbls>
        <c:gapWidth val="150"/>
        <c:shape val="cylinder"/>
        <c:axId val="176234880"/>
        <c:axId val="176236800"/>
        <c:axId val="0"/>
      </c:bar3DChart>
      <c:catAx>
        <c:axId val="176234880"/>
        <c:scaling>
          <c:orientation val="minMax"/>
        </c:scaling>
        <c:delete val="0"/>
        <c:axPos val="b"/>
        <c:title>
          <c:tx>
            <c:rich>
              <a:bodyPr/>
              <a:lstStyle/>
              <a:p>
                <a:pPr>
                  <a:defRPr/>
                </a:pPr>
                <a:r>
                  <a:rPr lang="en-US"/>
                  <a:t>Education status</a:t>
                </a:r>
              </a:p>
            </c:rich>
          </c:tx>
          <c:overlay val="0"/>
        </c:title>
        <c:majorTickMark val="out"/>
        <c:minorTickMark val="none"/>
        <c:tickLblPos val="nextTo"/>
        <c:crossAx val="176236800"/>
        <c:crosses val="autoZero"/>
        <c:auto val="1"/>
        <c:lblAlgn val="ctr"/>
        <c:lblOffset val="100"/>
        <c:noMultiLvlLbl val="0"/>
      </c:catAx>
      <c:valAx>
        <c:axId val="176236800"/>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7623488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Sheet8!$B$1</c:f>
              <c:strCache>
                <c:ptCount val="1"/>
                <c:pt idx="0">
                  <c:v>% of households (2009)</c:v>
                </c:pt>
              </c:strCache>
            </c:strRef>
          </c:tx>
          <c:invertIfNegative val="0"/>
          <c:cat>
            <c:strRef>
              <c:f>Sheet8!$A$2:$A$5</c:f>
              <c:strCache>
                <c:ptCount val="4"/>
                <c:pt idx="0">
                  <c:v>All households</c:v>
                </c:pt>
                <c:pt idx="1">
                  <c:v>Unemployed</c:v>
                </c:pt>
                <c:pt idx="2">
                  <c:v>Not in labor force</c:v>
                </c:pt>
                <c:pt idx="3">
                  <c:v>Employed</c:v>
                </c:pt>
              </c:strCache>
            </c:strRef>
          </c:cat>
          <c:val>
            <c:numRef>
              <c:f>Sheet8!$B$2:$B$5</c:f>
              <c:numCache>
                <c:formatCode>General</c:formatCode>
                <c:ptCount val="4"/>
                <c:pt idx="0">
                  <c:v>7.6</c:v>
                </c:pt>
                <c:pt idx="1">
                  <c:v>19.100000000000001</c:v>
                </c:pt>
                <c:pt idx="2">
                  <c:v>9.6999999999999993</c:v>
                </c:pt>
                <c:pt idx="3">
                  <c:v>5.5</c:v>
                </c:pt>
              </c:numCache>
            </c:numRef>
          </c:val>
        </c:ser>
        <c:ser>
          <c:idx val="1"/>
          <c:order val="1"/>
          <c:tx>
            <c:strRef>
              <c:f>Sheet8!$C$1</c:f>
              <c:strCache>
                <c:ptCount val="1"/>
                <c:pt idx="0">
                  <c:v>% of households (2011)</c:v>
                </c:pt>
              </c:strCache>
            </c:strRef>
          </c:tx>
          <c:invertIfNegative val="0"/>
          <c:cat>
            <c:strRef>
              <c:f>Sheet8!$A$2:$A$5</c:f>
              <c:strCache>
                <c:ptCount val="4"/>
                <c:pt idx="0">
                  <c:v>All households</c:v>
                </c:pt>
                <c:pt idx="1">
                  <c:v>Unemployed</c:v>
                </c:pt>
                <c:pt idx="2">
                  <c:v>Not in labor force</c:v>
                </c:pt>
                <c:pt idx="3">
                  <c:v>Employed</c:v>
                </c:pt>
              </c:strCache>
            </c:strRef>
          </c:cat>
          <c:val>
            <c:numRef>
              <c:f>Sheet8!$C$2:$C$5</c:f>
              <c:numCache>
                <c:formatCode>General</c:formatCode>
                <c:ptCount val="4"/>
                <c:pt idx="0">
                  <c:v>8.1999999999999993</c:v>
                </c:pt>
                <c:pt idx="1">
                  <c:v>22.5</c:v>
                </c:pt>
                <c:pt idx="2">
                  <c:v>11</c:v>
                </c:pt>
                <c:pt idx="3">
                  <c:v>5.3</c:v>
                </c:pt>
              </c:numCache>
            </c:numRef>
          </c:val>
        </c:ser>
        <c:dLbls>
          <c:showLegendKey val="0"/>
          <c:showVal val="0"/>
          <c:showCatName val="0"/>
          <c:showSerName val="0"/>
          <c:showPercent val="0"/>
          <c:showBubbleSize val="0"/>
        </c:dLbls>
        <c:gapWidth val="150"/>
        <c:shape val="cylinder"/>
        <c:axId val="176275456"/>
        <c:axId val="176277376"/>
        <c:axId val="0"/>
      </c:bar3DChart>
      <c:catAx>
        <c:axId val="176275456"/>
        <c:scaling>
          <c:orientation val="minMax"/>
        </c:scaling>
        <c:delete val="0"/>
        <c:axPos val="b"/>
        <c:title>
          <c:tx>
            <c:rich>
              <a:bodyPr/>
              <a:lstStyle/>
              <a:p>
                <a:pPr>
                  <a:defRPr/>
                </a:pPr>
                <a:r>
                  <a:rPr lang="en-US"/>
                  <a:t>Employment Status</a:t>
                </a:r>
              </a:p>
            </c:rich>
          </c:tx>
          <c:overlay val="0"/>
        </c:title>
        <c:majorTickMark val="out"/>
        <c:minorTickMark val="none"/>
        <c:tickLblPos val="nextTo"/>
        <c:crossAx val="176277376"/>
        <c:crosses val="autoZero"/>
        <c:auto val="1"/>
        <c:lblAlgn val="ctr"/>
        <c:lblOffset val="100"/>
        <c:noMultiLvlLbl val="0"/>
      </c:catAx>
      <c:valAx>
        <c:axId val="176277376"/>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17627545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1306FF7-5188-47EF-A6FB-0345A6BA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3384</Words>
  <Characters>19295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2020-11-26T20:42:00Z</dcterms:created>
  <dcterms:modified xsi:type="dcterms:W3CDTF">2020-11-26T20:42:00Z</dcterms:modified>
</cp:coreProperties>
</file>